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1C" w:rsidRPr="00672762" w:rsidRDefault="00DD351C" w:rsidP="00672762">
      <w:pPr>
        <w:pStyle w:val="Heading1"/>
        <w:ind w:left="5954"/>
      </w:pPr>
      <w:r w:rsidRPr="00672762">
        <w:t>ЗАТВЕРДЖЕНО</w:t>
      </w:r>
    </w:p>
    <w:p w:rsidR="00DD351C" w:rsidRPr="00672762" w:rsidRDefault="00DD351C" w:rsidP="00CE4523">
      <w:pPr>
        <w:pStyle w:val="Heading1"/>
        <w:ind w:left="5954"/>
      </w:pPr>
      <w:r>
        <w:t>р</w:t>
      </w:r>
      <w:r w:rsidRPr="00672762">
        <w:t>ішення міської ради</w:t>
      </w:r>
    </w:p>
    <w:p w:rsidR="00DD351C" w:rsidRPr="00672762" w:rsidRDefault="00DD351C" w:rsidP="00CE4523">
      <w:pPr>
        <w:pStyle w:val="Heading1"/>
        <w:ind w:left="5954"/>
      </w:pPr>
      <w:r w:rsidRPr="00672762">
        <w:t>від    .06.2024 №</w:t>
      </w:r>
    </w:p>
    <w:p w:rsidR="00DD351C" w:rsidRPr="000A4235" w:rsidRDefault="00DD351C" w:rsidP="002B611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D351C" w:rsidRPr="00813DE2" w:rsidRDefault="00DD351C" w:rsidP="00813DE2">
      <w:pPr>
        <w:ind w:firstLine="567"/>
        <w:contextualSpacing/>
        <w:jc w:val="center"/>
        <w:rPr>
          <w:b/>
        </w:rPr>
      </w:pPr>
      <w:r>
        <w:rPr>
          <w:b/>
        </w:rPr>
        <w:t>Програма</w:t>
      </w:r>
      <w:r w:rsidRPr="00813DE2">
        <w:rPr>
          <w:b/>
        </w:rPr>
        <w:t xml:space="preserve"> створення страхового фонду документації Лозівської міської територіа</w:t>
      </w:r>
      <w:r>
        <w:rPr>
          <w:b/>
        </w:rPr>
        <w:t>льної громади на 2024-2026 роки</w:t>
      </w:r>
    </w:p>
    <w:p w:rsidR="00DD351C" w:rsidRDefault="00DD351C" w:rsidP="002B611B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7"/>
        <w:gridCol w:w="5102"/>
      </w:tblGrid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7534E">
              <w:rPr>
                <w:sz w:val="24"/>
                <w:szCs w:val="24"/>
              </w:rPr>
              <w:t xml:space="preserve">Відділ цивільного захисту, оборонної, мобілізаційної роботи та </w:t>
            </w:r>
            <w:r w:rsidRPr="00D7534E">
              <w:rPr>
                <w:color w:val="000000"/>
                <w:sz w:val="24"/>
                <w:szCs w:val="24"/>
                <w:lang w:eastAsia="uk-UA"/>
              </w:rPr>
              <w:t>взаємодії з правоохоронними органами Лозівської міської ради Харківської області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color w:val="000000"/>
                <w:sz w:val="24"/>
                <w:szCs w:val="24"/>
              </w:rPr>
            </w:pPr>
            <w:r w:rsidRPr="00D7534E">
              <w:rPr>
                <w:color w:val="000000"/>
                <w:sz w:val="24"/>
                <w:szCs w:val="24"/>
              </w:rPr>
              <w:t>Закон України «Про страховий фонд документації України», постанова Кабінету Міністрів України від 13.03.2002 № 320 «Про затвердження Положення про порядок формування, ведення та використання обласного (регіонального) страхового фонду документації»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sz w:val="24"/>
                <w:szCs w:val="24"/>
              </w:rPr>
            </w:pPr>
          </w:p>
        </w:tc>
      </w:tr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Розробник програми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7534E">
              <w:rPr>
                <w:sz w:val="24"/>
                <w:szCs w:val="24"/>
              </w:rPr>
              <w:t xml:space="preserve">Відділ цивільного захисту, оборонної, мобілізаційної роботи та </w:t>
            </w:r>
            <w:r w:rsidRPr="00D7534E">
              <w:rPr>
                <w:color w:val="000000"/>
                <w:sz w:val="24"/>
                <w:szCs w:val="24"/>
                <w:lang w:eastAsia="uk-UA"/>
              </w:rPr>
              <w:t>взаємодії з правоохоронними органами Лозівської міської ради Харківської області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74266B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Комунальні підприємства, установи, організації, в</w:t>
            </w:r>
            <w:r w:rsidRPr="00D7534E">
              <w:rPr>
                <w:sz w:val="24"/>
                <w:szCs w:val="24"/>
              </w:rPr>
              <w:t xml:space="preserve">ідділ цивільного захисту, оборонної, мобілізаційної роботи та </w:t>
            </w:r>
            <w:r w:rsidRPr="00D7534E">
              <w:rPr>
                <w:color w:val="000000"/>
                <w:sz w:val="24"/>
                <w:szCs w:val="24"/>
                <w:lang w:eastAsia="uk-UA"/>
              </w:rPr>
              <w:t>взаємодії з правоохоронними органами Лозівської міської ради Харківської області</w:t>
            </w:r>
            <w:r w:rsidRPr="00D7534E">
              <w:rPr>
                <w:bCs/>
                <w:sz w:val="24"/>
                <w:szCs w:val="24"/>
              </w:rPr>
              <w:t>, Північно-східний регіональний центр страхової документації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176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sz w:val="24"/>
                <w:szCs w:val="24"/>
              </w:rPr>
            </w:pPr>
            <w:r w:rsidRPr="00D7534E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ради, Управління культури Лозівської міської ради, Управління освіти, молоді та спорту Лозівської міської ради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176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Одержувач бюджетних коштів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Північно-східний регіональний центр страхової документації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 xml:space="preserve">2024 – 2026 роки 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BC29B1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Фінансування Програми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Бюджет Лозівської міської територіальної громади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DD351C" w:rsidRPr="008F24E3" w:rsidTr="00D7534E">
        <w:trPr>
          <w:jc w:val="center"/>
        </w:trPr>
        <w:tc>
          <w:tcPr>
            <w:tcW w:w="993" w:type="dxa"/>
          </w:tcPr>
          <w:p w:rsidR="00DD351C" w:rsidRPr="00D7534E" w:rsidRDefault="00DD351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DD351C" w:rsidRPr="00D7534E" w:rsidRDefault="00DD351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Загальний обсяг фінансових ресурсів, необхідних для реалізації програми, всього, тис.грн., у тому числі:</w:t>
            </w:r>
          </w:p>
        </w:tc>
        <w:tc>
          <w:tcPr>
            <w:tcW w:w="5102" w:type="dxa"/>
          </w:tcPr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 xml:space="preserve">2024 рік – 16 575,00 грн. 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2025 рік – 429 526,00 грн.</w:t>
            </w:r>
          </w:p>
          <w:p w:rsidR="00DD351C" w:rsidRPr="00D7534E" w:rsidRDefault="00DD351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 xml:space="preserve">2026 рік – 0,00 грн  </w:t>
            </w:r>
          </w:p>
        </w:tc>
      </w:tr>
    </w:tbl>
    <w:p w:rsidR="00DD351C" w:rsidRPr="008F24E3" w:rsidRDefault="00DD351C" w:rsidP="00813DE2">
      <w:pPr>
        <w:ind w:left="1701" w:right="567"/>
        <w:jc w:val="center"/>
        <w:rPr>
          <w:b/>
          <w:sz w:val="24"/>
          <w:szCs w:val="24"/>
        </w:rPr>
      </w:pPr>
      <w:r w:rsidRPr="008F24E3">
        <w:rPr>
          <w:b/>
          <w:sz w:val="24"/>
          <w:szCs w:val="24"/>
        </w:rPr>
        <w:br w:type="page"/>
      </w:r>
    </w:p>
    <w:p w:rsidR="00DD351C" w:rsidRPr="00872DF5" w:rsidRDefault="00DD351C" w:rsidP="00872DF5">
      <w:pPr>
        <w:ind w:firstLine="567"/>
        <w:jc w:val="center"/>
        <w:rPr>
          <w:b/>
        </w:rPr>
      </w:pPr>
      <w:r w:rsidRPr="00872DF5">
        <w:rPr>
          <w:b/>
        </w:rPr>
        <w:t>2. Визначення проблеми, на розв’язання якої спрямована Програма</w:t>
      </w:r>
    </w:p>
    <w:p w:rsidR="00DD351C" w:rsidRDefault="00DD351C" w:rsidP="00872DF5">
      <w:pPr>
        <w:ind w:firstLine="567"/>
        <w:jc w:val="both"/>
      </w:pPr>
    </w:p>
    <w:p w:rsidR="00DD351C" w:rsidRDefault="00DD351C" w:rsidP="002A25C0">
      <w:pPr>
        <w:ind w:firstLine="567"/>
        <w:jc w:val="both"/>
      </w:pPr>
      <w:r w:rsidRPr="00872DF5">
        <w:t xml:space="preserve">Програма створення страхового фонду документації Лозівської міської територіальної громади на 2024-2026 роки розроблена відповідно до Закону України «Про страховий фонд документації України», постанови Кабінету Міністрів </w:t>
      </w:r>
      <w:r>
        <w:t>України від 13 березня 2002</w:t>
      </w:r>
      <w:r w:rsidRPr="00872DF5">
        <w:t xml:space="preserve"> №320 «Про затвердження Положення про порядок формування, ведення та використання обласного (регіонального) страхового фонду документації»</w:t>
      </w:r>
      <w:r>
        <w:t>.</w:t>
      </w:r>
    </w:p>
    <w:p w:rsidR="00DD351C" w:rsidRDefault="00DD351C" w:rsidP="002A25C0">
      <w:pPr>
        <w:ind w:firstLine="567"/>
        <w:jc w:val="both"/>
        <w:rPr>
          <w:highlight w:val="yellow"/>
        </w:rPr>
      </w:pPr>
      <w:r>
        <w:t>Страховий фонд документації України – упорядкований банк документів, зафіксованих на мікрографічній плівці чи інших компактних носіях інформації, які прийняті на державний облік і довгострокове надійне зберігання.</w:t>
      </w:r>
    </w:p>
    <w:p w:rsidR="00DD351C" w:rsidRPr="00872DF5" w:rsidRDefault="00DD351C" w:rsidP="002A25C0">
      <w:pPr>
        <w:ind w:firstLine="567"/>
        <w:jc w:val="both"/>
      </w:pPr>
      <w:r w:rsidRPr="00872DF5">
        <w:t>Природні катаклізми, аварії на системах життєзабезпечення, бойові дії завжди супроводжуються вторинними вражаючими чинниками: пожежами, вибухами, затопленням територій.</w:t>
      </w:r>
    </w:p>
    <w:p w:rsidR="00DD351C" w:rsidRPr="00872DF5" w:rsidRDefault="00DD351C" w:rsidP="002A25C0">
      <w:pPr>
        <w:ind w:firstLine="567"/>
        <w:jc w:val="both"/>
      </w:pPr>
      <w:r w:rsidRPr="00872DF5">
        <w:t>Для прийняття рішень та оперативного реагування на складні метеорологічні ситуації, аварії та інші катаклізм</w:t>
      </w:r>
      <w:r>
        <w:t xml:space="preserve">и, які можуть загрожувати життєзабезпеченню </w:t>
      </w:r>
      <w:r w:rsidRPr="00872DF5">
        <w:t xml:space="preserve">населення на території </w:t>
      </w:r>
      <w:r>
        <w:t>міської територіальної громади</w:t>
      </w:r>
      <w:r w:rsidRPr="00872DF5">
        <w:t xml:space="preserve">, органи </w:t>
      </w:r>
      <w:r>
        <w:t>місцевої</w:t>
      </w:r>
      <w:r w:rsidRPr="00872DF5">
        <w:t xml:space="preserve"> влади повинні мати необхідні матеріально-технічні ресурси, в тому числі і страховий фонд документації на об’єкти підвищеної небезпеки, об’єкти, які є важливими для життєзабезпечення території, а також вживати запобіжні заходи щодо збер</w:t>
      </w:r>
      <w:r>
        <w:t xml:space="preserve">еження </w:t>
      </w:r>
      <w:r w:rsidRPr="00872DF5">
        <w:t>історико-культурної спадщини.</w:t>
      </w:r>
    </w:p>
    <w:p w:rsidR="00DD351C" w:rsidRDefault="00DD351C" w:rsidP="002A25C0">
      <w:pPr>
        <w:ind w:firstLine="567"/>
        <w:jc w:val="both"/>
      </w:pPr>
      <w:r w:rsidRPr="00872DF5">
        <w:t xml:space="preserve">Робота щодо створення СФД здійснюється з додержанням вимог чинного законодавства про державну таємницю та технічний захист інформації. </w:t>
      </w:r>
    </w:p>
    <w:p w:rsidR="00DD351C" w:rsidRPr="00872DF5" w:rsidRDefault="00DD351C" w:rsidP="002A25C0">
      <w:pPr>
        <w:ind w:firstLine="567"/>
        <w:jc w:val="both"/>
      </w:pPr>
    </w:p>
    <w:p w:rsidR="00DD351C" w:rsidRPr="00872DF5" w:rsidRDefault="00DD351C" w:rsidP="002A25C0">
      <w:pPr>
        <w:ind w:firstLine="567"/>
        <w:jc w:val="center"/>
        <w:rPr>
          <w:b/>
        </w:rPr>
      </w:pPr>
      <w:r w:rsidRPr="00872DF5">
        <w:rPr>
          <w:b/>
        </w:rPr>
        <w:t>3. Визначення мети Програми</w:t>
      </w:r>
    </w:p>
    <w:p w:rsidR="00DD351C" w:rsidRDefault="00DD351C" w:rsidP="002A25C0">
      <w:pPr>
        <w:ind w:firstLine="567"/>
        <w:jc w:val="both"/>
      </w:pPr>
    </w:p>
    <w:p w:rsidR="00DD351C" w:rsidRPr="00872DF5" w:rsidRDefault="00DD351C" w:rsidP="002A25C0">
      <w:pPr>
        <w:ind w:firstLine="567"/>
        <w:jc w:val="both"/>
      </w:pPr>
      <w:r>
        <w:t>Метою П</w:t>
      </w:r>
      <w:r w:rsidRPr="00872DF5">
        <w:t xml:space="preserve">рограми є реалізація державної політики у сфері </w:t>
      </w:r>
      <w:r>
        <w:t xml:space="preserve">створення, </w:t>
      </w:r>
      <w:r w:rsidRPr="00872DF5">
        <w:t>формування, ведення та використання страхового фонду документації.</w:t>
      </w:r>
    </w:p>
    <w:p w:rsidR="00DD351C" w:rsidRPr="00872DF5" w:rsidRDefault="00DD351C" w:rsidP="002A25C0">
      <w:pPr>
        <w:ind w:firstLine="567"/>
        <w:jc w:val="both"/>
      </w:pPr>
      <w:r w:rsidRPr="00872DF5">
        <w:t xml:space="preserve">Основними завданнями Програми є забезпечення створення страхового фонду документації </w:t>
      </w:r>
      <w:r>
        <w:t>Лозівської</w:t>
      </w:r>
      <w:r w:rsidRPr="00872DF5">
        <w:t xml:space="preserve"> міської територіальної громади з метою довгострокового і н</w:t>
      </w:r>
      <w:r>
        <w:t xml:space="preserve">адійного зберігання документів </w:t>
      </w:r>
      <w:r w:rsidRPr="00872DF5">
        <w:t>страхового фонду для забезпечення користувачів їх повнорозмірними паперовими копіями у випадку відсутності, втрати, псування або недоступності оригіналів документації для проведення будівельних (відбудовчих), аварійно-рятувальних та аварійно-відновлювальних робіт під час ліквідації надзвичайних ситуацій та в особливий період, для збереження культурної спадщини, а також для організації виробництва, експлуатації та ремонту продукції господарського призначення.</w:t>
      </w:r>
    </w:p>
    <w:p w:rsidR="00DD351C" w:rsidRDefault="00DD351C" w:rsidP="002A25C0">
      <w:pPr>
        <w:ind w:firstLine="567"/>
        <w:jc w:val="both"/>
      </w:pPr>
      <w:r>
        <w:t xml:space="preserve">Підставою для розроблення Програми є номенклатура виробів та продукції, переліки об'єктів і споруд систем життєзабезпечення населення, транспортних зв'язків, об'єктів будівництва промислового і цивільного призначення, об'єктів культурної спадщини та унікальних документальних пам'яток, переліки техногенно і екологічно небезпечних та інших об'єктів, документація на які підлягає закладенню до обласних (регіональних) СФД. </w:t>
      </w:r>
    </w:p>
    <w:p w:rsidR="00DD351C" w:rsidRPr="00872DF5" w:rsidRDefault="00DD351C" w:rsidP="002A25C0">
      <w:pPr>
        <w:ind w:firstLine="567"/>
        <w:jc w:val="both"/>
      </w:pPr>
      <w:r w:rsidRPr="00872DF5">
        <w:t>Для досягнення мети Програми необхідно створити  СФД на:</w:t>
      </w:r>
    </w:p>
    <w:p w:rsidR="00DD351C" w:rsidRPr="00872DF5" w:rsidRDefault="00DD351C" w:rsidP="002A25C0">
      <w:pPr>
        <w:ind w:firstLine="567"/>
        <w:jc w:val="both"/>
      </w:pPr>
      <w:r>
        <w:t>-</w:t>
      </w:r>
      <w:r w:rsidRPr="00872DF5">
        <w:t>об’єкти будівництва для проведення відбудовчих робіт під час ліквідації наслідків надзвичайних ситуацій та відбудовчих робіт на об’єктах і спорудах систем життєзабезпечення, соціальної сфери і транспортних зв’язків, комунальних підприємств, у разі втрати або неможливості отримання документації на них;</w:t>
      </w:r>
    </w:p>
    <w:p w:rsidR="00DD351C" w:rsidRPr="00872DF5" w:rsidRDefault="00DD351C" w:rsidP="002A25C0">
      <w:pPr>
        <w:ind w:firstLine="567"/>
        <w:jc w:val="both"/>
      </w:pPr>
      <w:r>
        <w:t>-</w:t>
      </w:r>
      <w:r w:rsidRPr="00872DF5">
        <w:t>закінчені об’єкти будівництва для проведення відбудовчих робіт на об’єктах  та відтворення документації на них у випадках втрати оригіналів;</w:t>
      </w:r>
    </w:p>
    <w:p w:rsidR="00DD351C" w:rsidRDefault="00DD351C" w:rsidP="002A25C0">
      <w:pPr>
        <w:ind w:firstLine="567"/>
        <w:jc w:val="both"/>
      </w:pPr>
      <w:r>
        <w:t>-об</w:t>
      </w:r>
      <w:r w:rsidRPr="006523E3">
        <w:t>’</w:t>
      </w:r>
      <w:r>
        <w:t xml:space="preserve">єкти </w:t>
      </w:r>
      <w:r w:rsidRPr="00872DF5">
        <w:t>історико-культурної спадщини</w:t>
      </w:r>
      <w:r>
        <w:t>;</w:t>
      </w:r>
    </w:p>
    <w:p w:rsidR="00DD351C" w:rsidRPr="006523E3" w:rsidRDefault="00DD351C" w:rsidP="002A25C0">
      <w:pPr>
        <w:ind w:firstLine="567"/>
        <w:jc w:val="both"/>
        <w:rPr>
          <w:color w:val="000000"/>
        </w:rPr>
      </w:pPr>
      <w:r w:rsidRPr="006523E3">
        <w:rPr>
          <w:color w:val="000000"/>
        </w:rPr>
        <w:t>-будови, споруди, інженерні мережі  та діюча документація закладів освіти, молоді та спорту Лозівської міської територіальної громади.</w:t>
      </w:r>
    </w:p>
    <w:p w:rsidR="00DD351C" w:rsidRDefault="00DD351C" w:rsidP="002A25C0">
      <w:pPr>
        <w:ind w:firstLine="567"/>
        <w:jc w:val="both"/>
      </w:pPr>
      <w:r>
        <w:t>Прийняття в експлуатацію закінченого будівництвом об'єкта здійснюється за умови закладення проєктної документації до страхового фонду документації, що підтверджується відповідним актом, виданим Державним департаментом страхового фонду документації.</w:t>
      </w:r>
    </w:p>
    <w:p w:rsidR="00DD351C" w:rsidRDefault="00DD351C" w:rsidP="002A25C0">
      <w:pPr>
        <w:ind w:firstLine="567"/>
        <w:jc w:val="both"/>
      </w:pPr>
      <w:r>
        <w:t>Обсяги документації для виготовлення документів страхового фонду визначено орієнтовно на підставі переліків, наданих комунальними  підприємствами, установами і організаціями Лозівської міської ради до відділу цивільного захисту, оборонної, мобілізаційної роботи та взаємодії з правоохоронними органами Лозівської міської ради і мають бути уточнені при наданні документації для мікрофільмування до Північно-східного регіонального центру СФД.</w:t>
      </w:r>
    </w:p>
    <w:p w:rsidR="00DD351C" w:rsidRDefault="00DD351C" w:rsidP="002A25C0">
      <w:pPr>
        <w:jc w:val="both"/>
      </w:pPr>
    </w:p>
    <w:p w:rsidR="00DD351C" w:rsidRPr="00872DF5" w:rsidRDefault="00DD351C" w:rsidP="002A25C0">
      <w:pPr>
        <w:ind w:firstLine="567"/>
        <w:jc w:val="center"/>
        <w:rPr>
          <w:b/>
        </w:rPr>
      </w:pPr>
      <w:r w:rsidRPr="00872DF5">
        <w:rPr>
          <w:b/>
        </w:rPr>
        <w:t xml:space="preserve">4. Обґрунтування шляхів і засобів розв’язання проблеми, </w:t>
      </w:r>
      <w:r>
        <w:rPr>
          <w:b/>
        </w:rPr>
        <w:t xml:space="preserve">строки </w:t>
      </w:r>
      <w:r w:rsidRPr="00872DF5">
        <w:rPr>
          <w:b/>
        </w:rPr>
        <w:t>виконання Програми</w:t>
      </w:r>
    </w:p>
    <w:p w:rsidR="00DD351C" w:rsidRDefault="00DD351C" w:rsidP="002A25C0">
      <w:pPr>
        <w:jc w:val="both"/>
      </w:pPr>
    </w:p>
    <w:p w:rsidR="00DD351C" w:rsidRPr="006D35DA" w:rsidRDefault="00DD351C" w:rsidP="002A25C0">
      <w:pPr>
        <w:jc w:val="both"/>
        <w:rPr>
          <w:lang w:val="ru-RU"/>
        </w:rPr>
      </w:pPr>
      <w:r w:rsidRPr="00872DF5">
        <w:t xml:space="preserve">Основними завданнями Програми є завчасна підготовка документації для: 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C1244E">
        <w:t xml:space="preserve">- </w:t>
      </w:r>
      <w:r w:rsidRPr="00872DF5">
        <w:t xml:space="preserve">здійснення заходів із запобігання аваріям та катастрофам, оцінки ситуацій, прийняття рішень та ліквідації наслідків надзвичайних ситуацій, які виникають на об’єктах та окремих територіях, що підлягають постійному </w:t>
      </w:r>
      <w:r>
        <w:t xml:space="preserve">і обов’язковому обслуговуванню </w:t>
      </w:r>
      <w:r w:rsidRPr="00872DF5">
        <w:t xml:space="preserve">аварійно-рятувальними службами; 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6D35DA">
        <w:rPr>
          <w:lang w:val="ru-RU"/>
        </w:rPr>
        <w:t xml:space="preserve">- </w:t>
      </w:r>
      <w:r w:rsidRPr="00872DF5">
        <w:t>проведення відбудовчих робіт під час ліквідації надзвичайних ситуацій та відбудовчих робіт на об’єктах і спорудах систем життєзабезпечення і транспортних зв’язків, у разі втрати або неможливості</w:t>
      </w:r>
      <w:r>
        <w:t xml:space="preserve"> отримання документації на них;</w:t>
      </w:r>
    </w:p>
    <w:p w:rsidR="00DD351C" w:rsidRDefault="00DD351C" w:rsidP="002A25C0">
      <w:pPr>
        <w:ind w:firstLine="567"/>
        <w:jc w:val="both"/>
      </w:pPr>
      <w:r w:rsidRPr="006D35DA">
        <w:rPr>
          <w:lang w:val="ru-RU"/>
        </w:rPr>
        <w:t xml:space="preserve">- </w:t>
      </w:r>
      <w:r w:rsidRPr="00872DF5">
        <w:t>проведення відбудовчих робіт (консервація, реставрація, реабілітація, ремонт) на об’єктах культурної спадщини, зруйнованих в умовах особ</w:t>
      </w:r>
      <w:r>
        <w:t xml:space="preserve">ливого періоду та надзвичайних </w:t>
      </w:r>
      <w:r w:rsidRPr="00872DF5">
        <w:t>ситуацій, а також внаслідок п</w:t>
      </w:r>
      <w:r>
        <w:t>риродного старіння конструкцій;</w:t>
      </w:r>
    </w:p>
    <w:p w:rsidR="00DD351C" w:rsidRPr="006523E3" w:rsidRDefault="00DD351C" w:rsidP="00F36673">
      <w:pPr>
        <w:ind w:firstLine="567"/>
        <w:jc w:val="both"/>
        <w:rPr>
          <w:color w:val="000000"/>
        </w:rPr>
      </w:pPr>
      <w:r w:rsidRPr="006523E3">
        <w:rPr>
          <w:color w:val="000000"/>
        </w:rPr>
        <w:t>- проведення відбудовчих робіт (консервація, реставрація, реабілітація, ремонт) на об’єктах і спорудах закладів освіти, молоді та спорту, зруйнованих в умовах особливого періоду та надзвичайних ситуацій, а також внаслідок природного старіння конструкцій;</w:t>
      </w:r>
    </w:p>
    <w:p w:rsidR="00DD351C" w:rsidRPr="00872DF5" w:rsidRDefault="00DD351C" w:rsidP="002A25C0">
      <w:pPr>
        <w:ind w:firstLine="567"/>
        <w:jc w:val="both"/>
      </w:pPr>
      <w:r w:rsidRPr="00C1244E">
        <w:rPr>
          <w:lang w:val="ru-RU"/>
        </w:rPr>
        <w:t xml:space="preserve">- </w:t>
      </w:r>
      <w:r w:rsidRPr="00872DF5">
        <w:t xml:space="preserve">організації виробництва продукції господарського призначення, яка має важливе значення для сталого функціонування економіки області (регіону), у разі втрати або неможливості отримання документації на неї. 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872DF5">
        <w:t>Підприємства, установи та організації відповідно до чинного законодав</w:t>
      </w:r>
      <w:r>
        <w:t>ства у межах своєї компетенції:</w:t>
      </w:r>
    </w:p>
    <w:p w:rsidR="00DD351C" w:rsidRPr="00022AA0" w:rsidRDefault="00DD351C" w:rsidP="002A25C0">
      <w:pPr>
        <w:ind w:firstLine="567"/>
        <w:jc w:val="both"/>
        <w:rPr>
          <w:lang w:val="ru-RU"/>
        </w:rPr>
      </w:pPr>
      <w:r w:rsidRPr="00022AA0">
        <w:rPr>
          <w:lang w:val="ru-RU"/>
        </w:rPr>
        <w:t xml:space="preserve">- </w:t>
      </w:r>
      <w:r w:rsidRPr="00872DF5">
        <w:t xml:space="preserve">обстежують документацію підприємства, розробляють переліки продукції та об’єктів будівництва, документація на які підлягає закладанню до СФД; 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6D35DA">
        <w:rPr>
          <w:lang w:val="ru-RU"/>
        </w:rPr>
        <w:t xml:space="preserve">- </w:t>
      </w:r>
      <w:r w:rsidRPr="00872DF5">
        <w:t>забезпечують відповідність документації фактичному стану продукції, об’єкта будівництва, систем життєзабезпечення нас</w:t>
      </w:r>
      <w:r>
        <w:t>елення і транспортних зв’язків;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C1244E">
        <w:rPr>
          <w:lang w:val="ru-RU"/>
        </w:rPr>
        <w:t xml:space="preserve">- </w:t>
      </w:r>
      <w:r w:rsidRPr="00872DF5">
        <w:t xml:space="preserve">визначають достатній комплект документів на продукцію, об’єкт для формування СФД відповідно до його призначення і несуть відповідальність за його повноту; 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C1244E">
        <w:rPr>
          <w:lang w:val="ru-RU"/>
        </w:rPr>
        <w:t xml:space="preserve">- </w:t>
      </w:r>
      <w:r w:rsidRPr="00872DF5">
        <w:t>надають документацію для виготовлення документів СФД за найменуванням, обсягами та у строки,</w:t>
      </w:r>
      <w:r>
        <w:t xml:space="preserve"> визначені Програмою створення </w:t>
      </w:r>
      <w:r w:rsidRPr="00872DF5">
        <w:t xml:space="preserve">СФД; </w:t>
      </w:r>
    </w:p>
    <w:p w:rsidR="00DD351C" w:rsidRPr="006D35DA" w:rsidRDefault="00DD351C" w:rsidP="002A25C0">
      <w:pPr>
        <w:ind w:firstLine="567"/>
        <w:jc w:val="both"/>
        <w:rPr>
          <w:lang w:val="ru-RU"/>
        </w:rPr>
      </w:pPr>
      <w:r w:rsidRPr="00C1244E">
        <w:rPr>
          <w:lang w:val="ru-RU"/>
        </w:rPr>
        <w:t xml:space="preserve">- </w:t>
      </w:r>
      <w:r w:rsidRPr="00872DF5">
        <w:t xml:space="preserve">виконують роботи стосовно ведення СФД, надають пропозиції для внесення змін до документів СФД, переведення їх на архівне зберігання або анулювання (знищення). </w:t>
      </w:r>
    </w:p>
    <w:p w:rsidR="00DD351C" w:rsidRPr="00872DF5" w:rsidRDefault="00DD351C" w:rsidP="002A25C0">
      <w:pPr>
        <w:ind w:firstLine="567"/>
        <w:jc w:val="both"/>
      </w:pPr>
      <w:r>
        <w:t>Пів</w:t>
      </w:r>
      <w:r w:rsidRPr="00C1244E">
        <w:rPr>
          <w:lang w:val="ru-RU"/>
        </w:rPr>
        <w:t>нічно-східний</w:t>
      </w:r>
      <w:r w:rsidRPr="00872DF5">
        <w:t xml:space="preserve"> регіональний центр СФД відповідно до чинного законодавства у межах своєї компетенції забезпечує виготовлення документів СФД та користувачів документами СФД за їх заявками. </w:t>
      </w:r>
    </w:p>
    <w:p w:rsidR="00DD351C" w:rsidRDefault="00DD351C" w:rsidP="002A25C0">
      <w:pPr>
        <w:ind w:firstLine="567"/>
        <w:jc w:val="both"/>
      </w:pPr>
      <w:r w:rsidRPr="00872DF5">
        <w:t>Реалізація захо</w:t>
      </w:r>
      <w:r>
        <w:t>дів Програми розрахована на 2024 - 2026</w:t>
      </w:r>
      <w:r w:rsidRPr="00872DF5">
        <w:t xml:space="preserve"> роки</w:t>
      </w:r>
      <w:r>
        <w:t>.</w:t>
      </w:r>
    </w:p>
    <w:p w:rsidR="00DD351C" w:rsidRPr="00872DF5" w:rsidRDefault="00DD351C" w:rsidP="002A25C0">
      <w:pPr>
        <w:ind w:firstLine="567"/>
        <w:jc w:val="both"/>
      </w:pPr>
    </w:p>
    <w:p w:rsidR="00DD351C" w:rsidRPr="00872DF5" w:rsidRDefault="00DD351C" w:rsidP="002A25C0">
      <w:pPr>
        <w:ind w:firstLine="567"/>
        <w:jc w:val="center"/>
        <w:rPr>
          <w:b/>
        </w:rPr>
      </w:pPr>
      <w:r w:rsidRPr="00872DF5">
        <w:rPr>
          <w:b/>
        </w:rPr>
        <w:t>5. Перелік завдань Програми та результативні показники</w:t>
      </w:r>
    </w:p>
    <w:p w:rsidR="00DD351C" w:rsidRDefault="00DD351C" w:rsidP="002A25C0">
      <w:pPr>
        <w:ind w:firstLine="567"/>
        <w:jc w:val="both"/>
      </w:pPr>
    </w:p>
    <w:p w:rsidR="00DD351C" w:rsidRPr="00872DF5" w:rsidRDefault="00DD351C" w:rsidP="002A25C0">
      <w:pPr>
        <w:ind w:firstLine="567"/>
        <w:jc w:val="both"/>
      </w:pPr>
      <w:r w:rsidRPr="00872DF5">
        <w:t>Перелік завдань Програми:</w:t>
      </w:r>
    </w:p>
    <w:p w:rsidR="00DD351C" w:rsidRPr="00872DF5" w:rsidRDefault="00DD351C" w:rsidP="002A25C0">
      <w:pPr>
        <w:ind w:firstLine="567"/>
        <w:jc w:val="both"/>
      </w:pPr>
      <w:r>
        <w:t xml:space="preserve">- </w:t>
      </w:r>
      <w:r w:rsidRPr="00872DF5">
        <w:t>формування міського страхового фонду документації шляхом закладки його в СФД;</w:t>
      </w:r>
    </w:p>
    <w:p w:rsidR="00DD351C" w:rsidRPr="00872DF5" w:rsidRDefault="00DD351C" w:rsidP="002A25C0">
      <w:pPr>
        <w:ind w:firstLine="567"/>
        <w:jc w:val="both"/>
      </w:pPr>
      <w:r>
        <w:t xml:space="preserve">- </w:t>
      </w:r>
      <w:r w:rsidRPr="00872DF5">
        <w:t>забезпечення документацією для проведення будівельних (відбудовчих) аварійно-рятувальних та аварійно-відновлювальних робіт під час ліквідації надзвичайних ситуацій та в особливий період, а також внаслідок природного старіння конструкцій на об’єктах у разі втрати або неможливості отримання проєктної документації будівництва на них, для організації виробництва, експлуатації та ремонту продукції господарського призначення;</w:t>
      </w:r>
    </w:p>
    <w:p w:rsidR="00DD351C" w:rsidRPr="00872DF5" w:rsidRDefault="00DD351C" w:rsidP="002A25C0">
      <w:pPr>
        <w:ind w:firstLine="567"/>
        <w:jc w:val="both"/>
      </w:pPr>
      <w:r>
        <w:t xml:space="preserve">- </w:t>
      </w:r>
      <w:r w:rsidRPr="00872DF5">
        <w:t>видача користувачам копій документів СФД у визначені терміни і в необхідних обсягах.</w:t>
      </w:r>
    </w:p>
    <w:p w:rsidR="00DD351C" w:rsidRPr="00C37DB4" w:rsidRDefault="00DD351C" w:rsidP="002A25C0">
      <w:pPr>
        <w:ind w:firstLine="567"/>
        <w:jc w:val="both"/>
        <w:rPr>
          <w:color w:val="000000"/>
        </w:rPr>
      </w:pPr>
      <w:r w:rsidRPr="00C37DB4">
        <w:rPr>
          <w:color w:val="000000"/>
        </w:rPr>
        <w:t>У результаті виконання Програми буде забезпечено розвиток функціонування у Лозівській міській територіальній громаді підсистеми єдиної державної системи цивільного захисту Харківської області та реагування на надзвичайні ситуації техногенного і природного характеру і, як наслідок,  зменшення витрат на ліквідацію наслідків надзвичайних ситуацій.</w:t>
      </w:r>
    </w:p>
    <w:p w:rsidR="00DD351C" w:rsidRPr="00872DF5" w:rsidRDefault="00DD351C" w:rsidP="002A25C0">
      <w:pPr>
        <w:ind w:firstLine="567"/>
        <w:jc w:val="both"/>
      </w:pPr>
      <w:r w:rsidRPr="00872DF5">
        <w:t xml:space="preserve">Реалізація Програми дозволить </w:t>
      </w:r>
      <w:r>
        <w:t>в разі потреби</w:t>
      </w:r>
      <w:r w:rsidRPr="00872DF5">
        <w:t xml:space="preserve"> забезпечити </w:t>
      </w:r>
      <w:r>
        <w:t xml:space="preserve">її учасників </w:t>
      </w:r>
      <w:r w:rsidRPr="00872DF5">
        <w:t xml:space="preserve">документами СФД для проведення відбудовчих робіт, а також у найкоротші строки провести будівельні та відбудовані роботи на підприємствах, які мають важливе значення для сталого функціонування економіки </w:t>
      </w:r>
      <w:r>
        <w:t>Лозівської міської</w:t>
      </w:r>
      <w:r w:rsidRPr="00872DF5">
        <w:t xml:space="preserve"> </w:t>
      </w:r>
      <w:r>
        <w:t xml:space="preserve">територіальної громади </w:t>
      </w:r>
      <w:r w:rsidRPr="00872DF5">
        <w:t xml:space="preserve">на об’єктах систем життєзабезпечення населення і транспортних зв’язків, об’єктах культурної спадщини, розташованих на території </w:t>
      </w:r>
      <w:r>
        <w:t>громади</w:t>
      </w:r>
      <w:r w:rsidRPr="00872DF5">
        <w:t>, та потенційно небезпечних об’єктах.</w:t>
      </w:r>
    </w:p>
    <w:p w:rsidR="00DD351C" w:rsidRPr="004C3075" w:rsidRDefault="00DD351C" w:rsidP="002A25C0">
      <w:pPr>
        <w:pStyle w:val="BodyTextIndent3"/>
        <w:rPr>
          <w:bCs/>
          <w:color w:val="000000"/>
          <w:szCs w:val="28"/>
        </w:rPr>
      </w:pPr>
      <w:r w:rsidRPr="004C3075">
        <w:rPr>
          <w:color w:val="000000"/>
          <w:szCs w:val="28"/>
        </w:rPr>
        <w:t xml:space="preserve">Програмою передбачено </w:t>
      </w:r>
      <w:r w:rsidRPr="004C3075">
        <w:rPr>
          <w:color w:val="000000"/>
          <w:szCs w:val="28"/>
          <w:lang w:val="ru-RU"/>
        </w:rPr>
        <w:t>створе</w:t>
      </w:r>
      <w:r w:rsidRPr="004C3075">
        <w:rPr>
          <w:color w:val="000000"/>
          <w:szCs w:val="28"/>
        </w:rPr>
        <w:t xml:space="preserve">ння страхового фонду документації </w:t>
      </w:r>
      <w:r>
        <w:rPr>
          <w:color w:val="000000"/>
          <w:szCs w:val="28"/>
        </w:rPr>
        <w:t>32</w:t>
      </w:r>
      <w:r w:rsidRPr="004C3075">
        <w:rPr>
          <w:color w:val="000000"/>
          <w:szCs w:val="28"/>
        </w:rPr>
        <w:t xml:space="preserve"> об’єктів </w:t>
      </w:r>
      <w:r>
        <w:rPr>
          <w:color w:val="000000"/>
          <w:szCs w:val="28"/>
        </w:rPr>
        <w:t>5</w:t>
      </w:r>
      <w:r w:rsidRPr="004C3075">
        <w:rPr>
          <w:bCs/>
          <w:color w:val="000000"/>
          <w:szCs w:val="28"/>
        </w:rPr>
        <w:t xml:space="preserve"> підприємств, установ та організацій міста, які знаходяться у комунальній власності. </w:t>
      </w:r>
    </w:p>
    <w:p w:rsidR="00DD351C" w:rsidRDefault="00DD351C" w:rsidP="002A25C0">
      <w:pPr>
        <w:ind w:firstLine="567"/>
        <w:jc w:val="center"/>
        <w:rPr>
          <w:b/>
        </w:rPr>
      </w:pPr>
      <w:r w:rsidRPr="00872DF5">
        <w:rPr>
          <w:b/>
        </w:rPr>
        <w:t xml:space="preserve">6. </w:t>
      </w:r>
      <w:r>
        <w:rPr>
          <w:b/>
        </w:rPr>
        <w:t>Фінансове забезпечення</w:t>
      </w:r>
      <w:r w:rsidRPr="00872DF5">
        <w:rPr>
          <w:b/>
        </w:rPr>
        <w:t xml:space="preserve"> Програми</w:t>
      </w:r>
    </w:p>
    <w:p w:rsidR="00DD351C" w:rsidRPr="00872DF5" w:rsidRDefault="00DD351C" w:rsidP="000A4235">
      <w:pPr>
        <w:ind w:firstLine="567"/>
        <w:jc w:val="center"/>
        <w:rPr>
          <w:b/>
        </w:rPr>
      </w:pPr>
    </w:p>
    <w:p w:rsidR="00DD351C" w:rsidRPr="00366BCA" w:rsidRDefault="00DD351C" w:rsidP="000A4235">
      <w:pPr>
        <w:pStyle w:val="BodyTextIndent3"/>
        <w:rPr>
          <w:szCs w:val="28"/>
        </w:rPr>
      </w:pPr>
      <w:r w:rsidRPr="00366BCA">
        <w:rPr>
          <w:szCs w:val="28"/>
        </w:rPr>
        <w:t xml:space="preserve">Ресурсне забезпечення Програми передбачається здійснювати за рахунок коштів бюджету Лозівської міської територіальної громади, згідно з додатком 1 до Програми. </w:t>
      </w:r>
    </w:p>
    <w:p w:rsidR="00DD351C" w:rsidRPr="00C37DB4" w:rsidRDefault="00DD351C" w:rsidP="000A4235">
      <w:pPr>
        <w:ind w:right="7" w:firstLine="708"/>
        <w:jc w:val="both"/>
        <w:rPr>
          <w:bCs/>
        </w:rPr>
      </w:pPr>
      <w:r w:rsidRPr="00C37DB4">
        <w:t xml:space="preserve">Орієнтовні витрати на фінансування заходів Програми за рахунок коштів </w:t>
      </w:r>
      <w:r w:rsidRPr="00C37DB4">
        <w:rPr>
          <w:bCs/>
        </w:rPr>
        <w:t xml:space="preserve">місцевого  бюджету складають </w:t>
      </w:r>
      <w:r>
        <w:rPr>
          <w:bCs/>
        </w:rPr>
        <w:t>446</w:t>
      </w:r>
      <w:r w:rsidRPr="00C37DB4">
        <w:rPr>
          <w:bCs/>
        </w:rPr>
        <w:t> </w:t>
      </w:r>
      <w:r>
        <w:rPr>
          <w:bCs/>
        </w:rPr>
        <w:t>101</w:t>
      </w:r>
      <w:r w:rsidRPr="00C37DB4">
        <w:rPr>
          <w:bCs/>
        </w:rPr>
        <w:t>,</w:t>
      </w:r>
      <w:r>
        <w:rPr>
          <w:bCs/>
        </w:rPr>
        <w:t>00</w:t>
      </w:r>
      <w:r w:rsidRPr="00C37DB4">
        <w:rPr>
          <w:bCs/>
        </w:rPr>
        <w:t xml:space="preserve"> грн., в тому числі:</w:t>
      </w:r>
    </w:p>
    <w:p w:rsidR="00DD351C" w:rsidRPr="00C37DB4" w:rsidRDefault="00DD351C" w:rsidP="000A4235">
      <w:pPr>
        <w:suppressAutoHyphens w:val="0"/>
        <w:ind w:right="7"/>
        <w:jc w:val="both"/>
        <w:rPr>
          <w:bCs/>
        </w:rPr>
      </w:pPr>
      <w:r>
        <w:rPr>
          <w:bCs/>
        </w:rPr>
        <w:t>-</w:t>
      </w:r>
      <w:r w:rsidRPr="00C37DB4">
        <w:rPr>
          <w:bCs/>
        </w:rPr>
        <w:t xml:space="preserve">2024р. – </w:t>
      </w:r>
      <w:r>
        <w:rPr>
          <w:bCs/>
        </w:rPr>
        <w:t>16 575,00</w:t>
      </w:r>
      <w:r w:rsidRPr="00C37DB4">
        <w:rPr>
          <w:bCs/>
        </w:rPr>
        <w:t xml:space="preserve"> грн.</w:t>
      </w:r>
    </w:p>
    <w:p w:rsidR="00DD351C" w:rsidRPr="00C37DB4" w:rsidRDefault="00DD351C" w:rsidP="000A4235">
      <w:pPr>
        <w:suppressAutoHyphens w:val="0"/>
        <w:ind w:right="7"/>
        <w:jc w:val="both"/>
        <w:rPr>
          <w:bCs/>
        </w:rPr>
      </w:pPr>
      <w:r>
        <w:rPr>
          <w:bCs/>
        </w:rPr>
        <w:t>-</w:t>
      </w:r>
      <w:r w:rsidRPr="00C37DB4">
        <w:rPr>
          <w:bCs/>
        </w:rPr>
        <w:t xml:space="preserve">2025р. </w:t>
      </w:r>
      <w:r w:rsidRPr="006523E3">
        <w:rPr>
          <w:bCs/>
        </w:rPr>
        <w:t>– 42</w:t>
      </w:r>
      <w:r>
        <w:rPr>
          <w:bCs/>
        </w:rPr>
        <w:t>9</w:t>
      </w:r>
      <w:r w:rsidRPr="006523E3">
        <w:rPr>
          <w:bCs/>
        </w:rPr>
        <w:t> </w:t>
      </w:r>
      <w:r>
        <w:rPr>
          <w:bCs/>
        </w:rPr>
        <w:t>52</w:t>
      </w:r>
      <w:r w:rsidRPr="006523E3">
        <w:rPr>
          <w:bCs/>
        </w:rPr>
        <w:t>6,00 грн.</w:t>
      </w:r>
      <w:r>
        <w:rPr>
          <w:bCs/>
        </w:rPr>
        <w:t xml:space="preserve"> </w:t>
      </w:r>
    </w:p>
    <w:p w:rsidR="00DD351C" w:rsidRPr="00C37DB4" w:rsidRDefault="00DD351C" w:rsidP="000A4235">
      <w:pPr>
        <w:suppressAutoHyphens w:val="0"/>
        <w:ind w:right="7"/>
        <w:jc w:val="both"/>
        <w:rPr>
          <w:bCs/>
        </w:rPr>
      </w:pPr>
      <w:r>
        <w:rPr>
          <w:bCs/>
        </w:rPr>
        <w:t>-</w:t>
      </w:r>
      <w:r w:rsidRPr="00C37DB4">
        <w:rPr>
          <w:bCs/>
        </w:rPr>
        <w:t>2026р. – 0,00 грн.</w:t>
      </w:r>
    </w:p>
    <w:p w:rsidR="00DD351C" w:rsidRPr="00670E8C" w:rsidRDefault="00DD351C" w:rsidP="000A4235">
      <w:pPr>
        <w:shd w:val="clear" w:color="auto" w:fill="FFFFFF"/>
        <w:ind w:firstLine="567"/>
        <w:jc w:val="both"/>
      </w:pPr>
      <w:r w:rsidRPr="00670E8C">
        <w:t>Вартість робіт з формування СФД розрахована станом на 01.0</w:t>
      </w:r>
      <w:r>
        <w:t>5.2024</w:t>
      </w:r>
      <w:r w:rsidRPr="00670E8C">
        <w:t xml:space="preserve"> р. та уточнюється при укладанні договорів на виготовлення документів СФД з урахуванням змін чинного законодавства з оплати праці та інфляційних </w:t>
      </w:r>
      <w:r w:rsidRPr="00670E8C">
        <w:rPr>
          <w:spacing w:val="-1"/>
        </w:rPr>
        <w:t xml:space="preserve">процесів, та може змінюватись залежно від стану документації, що підлягає </w:t>
      </w:r>
      <w:r w:rsidRPr="00670E8C">
        <w:t>закладенню до страхового фонду документації.</w:t>
      </w:r>
    </w:p>
    <w:p w:rsidR="00DD351C" w:rsidRPr="00022AA0" w:rsidRDefault="00DD351C" w:rsidP="000A4235">
      <w:pPr>
        <w:ind w:right="7" w:firstLine="567"/>
        <w:jc w:val="both"/>
      </w:pPr>
      <w:r w:rsidRPr="00022AA0">
        <w:t xml:space="preserve">Головними розпорядниками коштів визначити: Управління житлово-комунального господарства та будівництва Лозівської міської ради, </w:t>
      </w:r>
      <w:r>
        <w:t>Управління</w:t>
      </w:r>
      <w:r w:rsidRPr="00022AA0">
        <w:t xml:space="preserve"> кул</w:t>
      </w:r>
      <w:r>
        <w:t>ьтури Лозівської міської ради, Управління освіти, молоді та спорту Лозівської міської ради.</w:t>
      </w:r>
    </w:p>
    <w:p w:rsidR="00DD351C" w:rsidRDefault="00DD351C" w:rsidP="000A4235">
      <w:pPr>
        <w:ind w:right="7" w:firstLine="567"/>
        <w:jc w:val="center"/>
        <w:rPr>
          <w:b/>
        </w:rPr>
      </w:pPr>
    </w:p>
    <w:p w:rsidR="00DD351C" w:rsidRDefault="00DD351C" w:rsidP="00C37DB4">
      <w:pPr>
        <w:ind w:right="7" w:firstLine="567"/>
        <w:jc w:val="center"/>
        <w:rPr>
          <w:b/>
          <w:highlight w:val="green"/>
        </w:rPr>
      </w:pPr>
      <w:r>
        <w:rPr>
          <w:b/>
        </w:rPr>
        <w:t>7. Механізм реалізації і контрою за виконанням Програми</w:t>
      </w:r>
    </w:p>
    <w:p w:rsidR="00DD351C" w:rsidRDefault="00DD351C" w:rsidP="00C37DB4">
      <w:pPr>
        <w:pStyle w:val="BodyTextIndent"/>
        <w:spacing w:after="0"/>
        <w:ind w:left="0" w:firstLine="567"/>
        <w:jc w:val="both"/>
      </w:pPr>
    </w:p>
    <w:p w:rsidR="00DD351C" w:rsidRDefault="00DD351C" w:rsidP="00C37DB4">
      <w:pPr>
        <w:pStyle w:val="BodyTextIndent"/>
        <w:spacing w:after="0"/>
        <w:ind w:left="0" w:firstLine="567"/>
        <w:jc w:val="both"/>
      </w:pPr>
      <w:r>
        <w:t xml:space="preserve">Організаційне забезпечення та контроль за виконанням заходів з реалізації Програми здійснює виконавчий комітет Лозівської міської ради. </w:t>
      </w:r>
    </w:p>
    <w:p w:rsidR="00DD351C" w:rsidRDefault="00DD351C" w:rsidP="00C37DB4">
      <w:pPr>
        <w:pStyle w:val="BodyTextIndent"/>
        <w:spacing w:after="0"/>
        <w:ind w:left="0" w:firstLine="567"/>
        <w:jc w:val="both"/>
      </w:pPr>
      <w:r>
        <w:t xml:space="preserve">Координацію заходів з виконання Програми здійснює відділ цивільного захисту, оборонної, мобілізаційної роботи та взаємодії з правоохоронними органами Лозівської міської ради. </w:t>
      </w:r>
    </w:p>
    <w:p w:rsidR="00DD351C" w:rsidRDefault="00DD351C" w:rsidP="00C37DB4">
      <w:pPr>
        <w:ind w:right="7" w:firstLine="567"/>
        <w:jc w:val="center"/>
        <w:rPr>
          <w:b/>
        </w:rPr>
      </w:pPr>
    </w:p>
    <w:p w:rsidR="00DD351C" w:rsidRDefault="00DD351C" w:rsidP="00C37DB4">
      <w:pPr>
        <w:ind w:right="7" w:firstLine="567"/>
        <w:jc w:val="center"/>
        <w:rPr>
          <w:b/>
          <w:caps/>
        </w:rPr>
      </w:pPr>
      <w:r>
        <w:rPr>
          <w:b/>
          <w:caps/>
        </w:rPr>
        <w:t xml:space="preserve">8. </w:t>
      </w:r>
      <w:r>
        <w:rPr>
          <w:b/>
        </w:rPr>
        <w:t>Очікувана ефективність від реалізації Програми</w:t>
      </w:r>
    </w:p>
    <w:p w:rsidR="00DD351C" w:rsidRDefault="00DD351C" w:rsidP="00C37DB4">
      <w:pPr>
        <w:pStyle w:val="BodyTextIndent2"/>
        <w:spacing w:after="0" w:line="240" w:lineRule="auto"/>
        <w:ind w:left="0" w:firstLine="567"/>
        <w:jc w:val="both"/>
      </w:pPr>
    </w:p>
    <w:p w:rsidR="00DD351C" w:rsidRDefault="00DD351C" w:rsidP="00C37DB4">
      <w:pPr>
        <w:pStyle w:val="BodyTextIndent2"/>
        <w:spacing w:after="0" w:line="240" w:lineRule="auto"/>
        <w:ind w:left="0" w:firstLine="567"/>
        <w:jc w:val="both"/>
      </w:pPr>
      <w:r>
        <w:t xml:space="preserve">Реалізація Програми дасть можливість у випадку виникнення аварій, надзвичайних ситуацій та в особливий період своєчасно забезпечити виконавчий комітет Лозівської міської ради, підприємства, установи та організації - постачальників документації та аварійно-рятувальні формування документами страхового фонду, необхідними для оцінки ситуації, прийняття рішень та здійснення конкретних дій для проведення аварійно-рятувальних заходів, а також значно зменшити витрати на розробку нової проєктної документації для проведення аварійно-відновлювальних та відбудовчих робіт. </w:t>
      </w:r>
    </w:p>
    <w:p w:rsidR="00DD351C" w:rsidRDefault="00DD351C" w:rsidP="00366BCA">
      <w:pPr>
        <w:pStyle w:val="BodyTextIndent2"/>
        <w:spacing w:after="0" w:line="240" w:lineRule="auto"/>
        <w:ind w:left="0"/>
        <w:jc w:val="both"/>
      </w:pPr>
    </w:p>
    <w:p w:rsidR="00DD351C" w:rsidRDefault="00DD351C" w:rsidP="00BE58A7">
      <w:pPr>
        <w:jc w:val="both"/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Юрій КУШНІР</w:t>
      </w:r>
    </w:p>
    <w:p w:rsidR="00DD351C" w:rsidRDefault="00DD351C" w:rsidP="00BE58A7">
      <w:pPr>
        <w:jc w:val="both"/>
      </w:pPr>
    </w:p>
    <w:p w:rsidR="00DD351C" w:rsidRPr="005E3B69" w:rsidRDefault="00DD351C" w:rsidP="00BE58A7">
      <w:pPr>
        <w:contextualSpacing/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p w:rsidR="00DD351C" w:rsidRPr="00872DF5" w:rsidRDefault="00DD351C" w:rsidP="00BE58A7">
      <w:pPr>
        <w:pStyle w:val="BodyTextIndent2"/>
        <w:spacing w:after="0" w:line="240" w:lineRule="auto"/>
        <w:ind w:left="0"/>
        <w:jc w:val="both"/>
      </w:pPr>
    </w:p>
    <w:sectPr w:rsidR="00DD351C" w:rsidRPr="00872DF5" w:rsidSect="006523E3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718"/>
    <w:multiLevelType w:val="hybridMultilevel"/>
    <w:tmpl w:val="962A640A"/>
    <w:lvl w:ilvl="0" w:tplc="392A5BE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11B"/>
    <w:rsid w:val="00006A0F"/>
    <w:rsid w:val="00022AA0"/>
    <w:rsid w:val="000741F1"/>
    <w:rsid w:val="00093085"/>
    <w:rsid w:val="00097B29"/>
    <w:rsid w:val="000A4235"/>
    <w:rsid w:val="0012279D"/>
    <w:rsid w:val="001957FE"/>
    <w:rsid w:val="001A6767"/>
    <w:rsid w:val="001C497D"/>
    <w:rsid w:val="00246C9C"/>
    <w:rsid w:val="0028714E"/>
    <w:rsid w:val="002A25C0"/>
    <w:rsid w:val="002B611B"/>
    <w:rsid w:val="0032220C"/>
    <w:rsid w:val="0034584C"/>
    <w:rsid w:val="00366BCA"/>
    <w:rsid w:val="00381627"/>
    <w:rsid w:val="0042779D"/>
    <w:rsid w:val="0047547E"/>
    <w:rsid w:val="004821DA"/>
    <w:rsid w:val="004C3075"/>
    <w:rsid w:val="00504CF0"/>
    <w:rsid w:val="005524CF"/>
    <w:rsid w:val="005C51C8"/>
    <w:rsid w:val="005E3B69"/>
    <w:rsid w:val="00603F0E"/>
    <w:rsid w:val="006523E3"/>
    <w:rsid w:val="00670E8C"/>
    <w:rsid w:val="00672762"/>
    <w:rsid w:val="00673D5E"/>
    <w:rsid w:val="006850AF"/>
    <w:rsid w:val="006B7FBB"/>
    <w:rsid w:val="006D35DA"/>
    <w:rsid w:val="006E59AC"/>
    <w:rsid w:val="006F4D5E"/>
    <w:rsid w:val="0074266B"/>
    <w:rsid w:val="0079694C"/>
    <w:rsid w:val="00813DE2"/>
    <w:rsid w:val="00872DF5"/>
    <w:rsid w:val="008F24E3"/>
    <w:rsid w:val="009D0C42"/>
    <w:rsid w:val="00A03037"/>
    <w:rsid w:val="00A33C7E"/>
    <w:rsid w:val="00AC7741"/>
    <w:rsid w:val="00B16796"/>
    <w:rsid w:val="00B2305A"/>
    <w:rsid w:val="00B26250"/>
    <w:rsid w:val="00B519F1"/>
    <w:rsid w:val="00B642F5"/>
    <w:rsid w:val="00B73BBC"/>
    <w:rsid w:val="00B8453E"/>
    <w:rsid w:val="00BC29B1"/>
    <w:rsid w:val="00BE58A7"/>
    <w:rsid w:val="00C1244E"/>
    <w:rsid w:val="00C37DB4"/>
    <w:rsid w:val="00C57AB9"/>
    <w:rsid w:val="00CE4523"/>
    <w:rsid w:val="00D2129B"/>
    <w:rsid w:val="00D3231B"/>
    <w:rsid w:val="00D32F27"/>
    <w:rsid w:val="00D361F4"/>
    <w:rsid w:val="00D41FFA"/>
    <w:rsid w:val="00D54DE7"/>
    <w:rsid w:val="00D7534E"/>
    <w:rsid w:val="00DC3914"/>
    <w:rsid w:val="00DD351C"/>
    <w:rsid w:val="00DD696C"/>
    <w:rsid w:val="00E44BE6"/>
    <w:rsid w:val="00ED3670"/>
    <w:rsid w:val="00ED6CC5"/>
    <w:rsid w:val="00EE7F4C"/>
    <w:rsid w:val="00F36673"/>
    <w:rsid w:val="00F6572B"/>
    <w:rsid w:val="00FB6926"/>
    <w:rsid w:val="00FD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1B"/>
    <w:pPr>
      <w:suppressAutoHyphens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2B611B"/>
    <w:pPr>
      <w:keepNext/>
      <w:jc w:val="both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611B"/>
    <w:rPr>
      <w:rFonts w:ascii="Times New Roman" w:hAnsi="Times New Roman" w:cs="Times New Roman"/>
      <w:sz w:val="28"/>
      <w:szCs w:val="28"/>
      <w:lang w:val="uk-UA" w:eastAsia="ru-RU"/>
    </w:rPr>
  </w:style>
  <w:style w:type="table" w:styleId="TableGrid">
    <w:name w:val="Table Grid"/>
    <w:basedOn w:val="TableNormal"/>
    <w:uiPriority w:val="99"/>
    <w:rsid w:val="00813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3DE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Spacing">
    <w:name w:val="No Spacing"/>
    <w:uiPriority w:val="99"/>
    <w:qFormat/>
    <w:rsid w:val="00813DE2"/>
    <w:rPr>
      <w:rFonts w:eastAsia="Times New Roman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D35DA"/>
    <w:pPr>
      <w:suppressAutoHyphens w:val="0"/>
      <w:ind w:right="7" w:firstLine="708"/>
      <w:jc w:val="both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D35DA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E59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E59AC"/>
    <w:rPr>
      <w:rFonts w:ascii="Times New Roman" w:hAnsi="Times New Roman"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6E59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E59AC"/>
    <w:rPr>
      <w:rFonts w:ascii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5</Pages>
  <Words>7642</Words>
  <Characters>4357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2024-05-24T06:58:00Z</cp:lastPrinted>
  <dcterms:created xsi:type="dcterms:W3CDTF">2024-03-12T13:54:00Z</dcterms:created>
  <dcterms:modified xsi:type="dcterms:W3CDTF">2024-06-06T11:12:00Z</dcterms:modified>
</cp:coreProperties>
</file>