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F6FD" w14:textId="2D1840FB" w:rsidR="00EE04B3" w:rsidRPr="00ED7A32" w:rsidRDefault="00211FF6" w:rsidP="00EE04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CF7BBD"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нформаційна довідка </w:t>
      </w:r>
      <w:r w:rsidR="004B6AB5"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Проєкту рішення</w:t>
      </w:r>
    </w:p>
    <w:p w14:paraId="09A021FC" w14:textId="49795CD4" w:rsidR="00A62DBE" w:rsidRPr="00ED7A32" w:rsidRDefault="004B6AB5" w:rsidP="00A62D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6A2F7D"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Стратегії розвитку Лозівської міської територіальної громади Лозівського району Харківської області на 2025–2027 роки</w:t>
      </w:r>
      <w:r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1DD75EA7" w14:textId="77777777" w:rsidR="00FC7679" w:rsidRPr="00ED7A32" w:rsidRDefault="00FC7679" w:rsidP="00A62D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41949D" w14:textId="297E56E7" w:rsidR="004236C3" w:rsidRDefault="00BD6D72" w:rsidP="002C0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A32">
        <w:rPr>
          <w:rFonts w:ascii="Times New Roman" w:hAnsi="Times New Roman" w:cs="Times New Roman"/>
          <w:sz w:val="28"/>
          <w:szCs w:val="28"/>
          <w:lang w:val="uk-UA"/>
        </w:rPr>
        <w:t>Процес розробки Стратегії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>розпочався у 2024 році відповідно до рішення Лозівської міської ради від 05.12.2024 №2302 «Про початок розроблення проєкту Стратегії розвитку Лозівської міської територіальної громади на 2025–2027 роки та Плану заходів з її реалізації»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36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6C3" w:rsidRPr="004236C3">
        <w:rPr>
          <w:rFonts w:ascii="Times New Roman" w:hAnsi="Times New Roman" w:cs="Times New Roman"/>
          <w:sz w:val="28"/>
          <w:szCs w:val="28"/>
          <w:lang w:val="uk-UA"/>
        </w:rPr>
        <w:t>Робоча група створена розпорядженням «Про Робочу групу з розроблення Стратегії розвитку Лозівської міської територіальної громади на 2025–2027 роки та Плану заходів з її реалізації» від 17.12.2024 року №416.</w:t>
      </w:r>
    </w:p>
    <w:p w14:paraId="1B13F8A6" w14:textId="184A4E85" w:rsidR="00110F39" w:rsidRPr="00ED7A32" w:rsidRDefault="00BD6D72" w:rsidP="002C0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Процес стратегічного планування в громаді 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>розпочався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 в рамках підтримки проєкту </w:t>
      </w:r>
      <w:proofErr w:type="spellStart"/>
      <w:r w:rsidRPr="00ED7A32">
        <w:rPr>
          <w:rFonts w:ascii="Times New Roman" w:hAnsi="Times New Roman" w:cs="Times New Roman"/>
          <w:sz w:val="28"/>
          <w:szCs w:val="28"/>
          <w:lang w:val="uk-UA"/>
        </w:rPr>
        <w:t>USAID</w:t>
      </w:r>
      <w:proofErr w:type="spellEnd"/>
      <w:r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 «Підвищення ефективності роботи і підзвітності органів місцевого самоврядування» («ГОВЕРЛА») та у супроводі Чернігівської міської громадської організації «Сіверський інститут регіональних досліджень».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Після зупинки проєкту </w:t>
      </w:r>
      <w:proofErr w:type="spellStart"/>
      <w:r w:rsidRPr="00ED7A32">
        <w:rPr>
          <w:rFonts w:ascii="Times New Roman" w:hAnsi="Times New Roman" w:cs="Times New Roman"/>
          <w:sz w:val="28"/>
          <w:szCs w:val="28"/>
          <w:lang w:val="uk-UA"/>
        </w:rPr>
        <w:t>USAID</w:t>
      </w:r>
      <w:proofErr w:type="spellEnd"/>
      <w:r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 «ГОВЕРЛА» процес стратегічного планування в громаді був призупинений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 і продовжений влітку 2025 року за підтримки БО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>Координаційний Гуманітарний Центр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236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6C3" w:rsidRPr="004236C3">
        <w:rPr>
          <w:rFonts w:ascii="Times New Roman" w:hAnsi="Times New Roman" w:cs="Times New Roman"/>
          <w:sz w:val="28"/>
          <w:szCs w:val="28"/>
          <w:lang w:val="uk-UA"/>
        </w:rPr>
        <w:t xml:space="preserve">в межах реалізації проєкту «Консорціум – </w:t>
      </w:r>
      <w:proofErr w:type="spellStart"/>
      <w:r w:rsidR="004236C3" w:rsidRPr="004236C3">
        <w:rPr>
          <w:rFonts w:ascii="Times New Roman" w:hAnsi="Times New Roman" w:cs="Times New Roman"/>
          <w:sz w:val="28"/>
          <w:szCs w:val="28"/>
          <w:lang w:val="uk-UA"/>
        </w:rPr>
        <w:t>HAVEN</w:t>
      </w:r>
      <w:proofErr w:type="spellEnd"/>
      <w:r w:rsidR="004236C3" w:rsidRPr="004236C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2FB6F5" w14:textId="67B1499B" w:rsidR="00BD6D72" w:rsidRPr="00ED7A32" w:rsidRDefault="004236C3" w:rsidP="002C0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A32">
        <w:rPr>
          <w:rFonts w:ascii="Times New Roman" w:hAnsi="Times New Roman" w:cs="Times New Roman"/>
          <w:sz w:val="28"/>
          <w:szCs w:val="28"/>
          <w:lang w:val="uk-UA"/>
        </w:rPr>
        <w:t>18.09.2025 рішенням міської ради від №2809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D72"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проєкт Стратегії був 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узгоджений </w:t>
      </w:r>
      <w:r w:rsidR="00DF57D1"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та оприлюднений на офіційному сайті Лозівської міської територіальної громади для прийняття зауважень та пропозицій. Також додаткові пропозицій щодо змісту документу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запитами </w:t>
      </w:r>
      <w:r w:rsidR="00DF57D1" w:rsidRPr="00ED7A32">
        <w:rPr>
          <w:rFonts w:ascii="Times New Roman" w:hAnsi="Times New Roman" w:cs="Times New Roman"/>
          <w:sz w:val="28"/>
          <w:szCs w:val="28"/>
          <w:lang w:val="uk-UA"/>
        </w:rPr>
        <w:t>приймались від структурних підрозділів, організацій та установ, підпорядкованих міській раді.</w:t>
      </w:r>
      <w:r w:rsidR="002C075F">
        <w:rPr>
          <w:rFonts w:ascii="Times New Roman" w:hAnsi="Times New Roman" w:cs="Times New Roman"/>
          <w:sz w:val="28"/>
          <w:szCs w:val="28"/>
          <w:lang w:val="uk-UA"/>
        </w:rPr>
        <w:t xml:space="preserve"> Окрім того в Стратегії враховано </w:t>
      </w:r>
      <w:r w:rsidR="002C075F" w:rsidRPr="002C075F">
        <w:rPr>
          <w:rFonts w:ascii="Times New Roman" w:hAnsi="Times New Roman" w:cs="Times New Roman"/>
          <w:sz w:val="28"/>
          <w:szCs w:val="28"/>
          <w:lang w:val="uk-UA"/>
        </w:rPr>
        <w:t>Програму комплексного відновлення території Лозівської міської територіальної громади Лозівського району Харківської області (її частини), Середньостроковий план пріоритетних публічних інвестицій Лозівської міської територіальної громади на 2026–2028 роки</w:t>
      </w:r>
      <w:r w:rsidR="002C075F">
        <w:rPr>
          <w:rFonts w:ascii="Times New Roman" w:hAnsi="Times New Roman" w:cs="Times New Roman"/>
          <w:sz w:val="28"/>
          <w:szCs w:val="28"/>
          <w:lang w:val="uk-UA"/>
        </w:rPr>
        <w:t xml:space="preserve"> та попередні напрацювання робочої групи з розробки Концепції інтегрованого розвитку Лозівської міської територіальної громади.</w:t>
      </w:r>
    </w:p>
    <w:p w14:paraId="41FE943B" w14:textId="459FBDC5" w:rsidR="00DF57D1" w:rsidRPr="00ED7A32" w:rsidRDefault="00DF57D1" w:rsidP="002C0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Опрацювавши надані пропозиції та зауваження, врахувавши реформування публічних інвестиційних проєктів управлінням економіки міської ради сформовано оновлений проєкт 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>Стратегії розвитку Лозівської міської територіальної громади Лозівського району Харківської області на 2025–2027 роки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>, який виноситься на затвердження міської ради.</w:t>
      </w:r>
      <w:r w:rsidR="00A06F26">
        <w:rPr>
          <w:rFonts w:ascii="Times New Roman" w:hAnsi="Times New Roman" w:cs="Times New Roman"/>
          <w:sz w:val="28"/>
          <w:szCs w:val="28"/>
          <w:lang w:val="uk-UA"/>
        </w:rPr>
        <w:t xml:space="preserve"> Короткий опис проєкту Стратегії додається.</w:t>
      </w:r>
    </w:p>
    <w:p w14:paraId="469AA022" w14:textId="1E178121" w:rsidR="004A260E" w:rsidRPr="00ED7A32" w:rsidRDefault="00FC7679" w:rsidP="002C0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A3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A260E" w:rsidRPr="00ED7A32">
        <w:rPr>
          <w:rFonts w:ascii="Times New Roman" w:hAnsi="Times New Roman" w:cs="Times New Roman"/>
          <w:sz w:val="28"/>
          <w:szCs w:val="28"/>
          <w:lang w:val="uk-UA"/>
        </w:rPr>
        <w:t>рошу включити на розгляд сесії</w:t>
      </w:r>
      <w:r w:rsidR="004B6AB5"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9A3"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4B6AB5" w:rsidRPr="00ED7A32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6A2F7D" w:rsidRPr="00ED7A32">
        <w:rPr>
          <w:rFonts w:ascii="Times New Roman" w:hAnsi="Times New Roman" w:cs="Times New Roman"/>
          <w:sz w:val="28"/>
          <w:szCs w:val="28"/>
          <w:lang w:val="uk-UA"/>
        </w:rPr>
        <w:t>Про затвердження Стратегії розвитку Лозівської міської територіальної громади Лозівського району Харківської області на 2025–2027 роки</w:t>
      </w:r>
      <w:r w:rsidR="004B6AB5" w:rsidRPr="00ED7A3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D7A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79B2C6" w14:textId="44CC401A" w:rsidR="00FC7679" w:rsidRPr="00ED7A32" w:rsidRDefault="00FC7679" w:rsidP="002C0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B1CC8D" w14:textId="77777777" w:rsidR="00CF7BBD" w:rsidRPr="00ED7A32" w:rsidRDefault="00CF7BBD" w:rsidP="00A62DB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6167D09" w14:textId="77777777" w:rsidR="00FC7679" w:rsidRPr="00ED7A32" w:rsidRDefault="00FC7679" w:rsidP="00FC76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A62DBE"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t>ачальник</w:t>
      </w:r>
      <w:r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62DBE"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управління</w:t>
      </w:r>
    </w:p>
    <w:p w14:paraId="62AEC1FA" w14:textId="7031F93D" w:rsidR="006A2F7D" w:rsidRPr="00ED7A32" w:rsidRDefault="00A62DBE" w:rsidP="00FC767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економіки</w:t>
      </w:r>
      <w:r w:rsidR="00C30ED5"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міської ради</w:t>
      </w:r>
      <w:r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FC7679"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Сергій ГРАНКІН</w:t>
      </w:r>
    </w:p>
    <w:p w14:paraId="483384D5" w14:textId="77777777" w:rsidR="006A2F7D" w:rsidRPr="00ED7A32" w:rsidRDefault="006A2F7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5D21AE8B" w14:textId="1330F7C2" w:rsidR="00A62DBE" w:rsidRPr="00ED7A32" w:rsidRDefault="006A2F7D" w:rsidP="00A06F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7A3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Опис проєкту Стратегії розвитку Лозівської міської територіальної громади Лозівського району Харківської області на 2025–2027 роки, що виноситься на затвердження міської ради</w:t>
      </w:r>
    </w:p>
    <w:p w14:paraId="2FD006A3" w14:textId="77777777" w:rsidR="006A2F7D" w:rsidRPr="00ED7A32" w:rsidRDefault="006A2F7D" w:rsidP="00FC767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882DF4" w14:textId="57CE1B41" w:rsidR="00A06F26" w:rsidRPr="00A06F26" w:rsidRDefault="00A06F26" w:rsidP="00A06F2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2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Стратегія розвитку Лозівської міської територіальної громади Лозівського району Харківської області на 2025–2027 роки </w:t>
      </w:r>
      <w:r w:rsidRPr="00A06F26">
        <w:rPr>
          <w:rFonts w:ascii="Times New Roman" w:hAnsi="Times New Roman" w:cs="Times New Roman"/>
          <w:sz w:val="28"/>
          <w:szCs w:val="28"/>
          <w:lang w:val="uk-UA"/>
        </w:rPr>
        <w:t>(далі за текстом – Стратегія)</w:t>
      </w:r>
      <w:r w:rsidRPr="00A06F2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06F26">
        <w:rPr>
          <w:rFonts w:ascii="Times New Roman" w:hAnsi="Times New Roman" w:cs="Times New Roman"/>
          <w:sz w:val="28"/>
          <w:szCs w:val="28"/>
          <w:lang w:val="uk-UA"/>
        </w:rPr>
        <w:t xml:space="preserve"> – це документ середньострокового планування, що визначає цілі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06F26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основні заходи </w:t>
      </w:r>
      <w:r w:rsidRPr="00A06F26">
        <w:rPr>
          <w:rFonts w:ascii="Times New Roman" w:hAnsi="Times New Roman" w:cs="Times New Roman"/>
          <w:sz w:val="28"/>
          <w:szCs w:val="28"/>
          <w:lang w:val="uk-UA"/>
        </w:rPr>
        <w:t>для забезпечення сталого економічного та соціального розвитку громади, підвищення її конкурентоспроможності та якості життя населення.</w:t>
      </w:r>
    </w:p>
    <w:p w14:paraId="0A6DA9ED" w14:textId="076D1440" w:rsidR="00A06F26" w:rsidRPr="00A06F26" w:rsidRDefault="00A06F26" w:rsidP="00A06F2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26">
        <w:rPr>
          <w:rFonts w:ascii="Times New Roman" w:hAnsi="Times New Roman" w:cs="Times New Roman"/>
          <w:sz w:val="28"/>
          <w:szCs w:val="28"/>
          <w:lang w:val="uk-UA"/>
        </w:rPr>
        <w:t xml:space="preserve">Документ містить аналітичну частину із загальною інформацією про громаду та описом поточного стану соціально-економічного розвитку, аналізуються проблемні питання, розкривається потенціал розвитку громади. Лозівська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uk-UA"/>
        </w:rPr>
        <w:t>МТГ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характеризується значним територіальним, демографічним, економічним та соціальним потенціалом, розвиненою інфраструктурою та здатністю забезпечувати сталий розвиток у коротко- та середньостроковій перспективі.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73C32">
        <w:rPr>
          <w:rFonts w:ascii="Times New Roman" w:hAnsi="Times New Roman" w:cs="Times New Roman"/>
          <w:sz w:val="28"/>
          <w:szCs w:val="28"/>
          <w:u w:val="single"/>
          <w:lang w:val="uk-UA"/>
        </w:rPr>
        <w:t>Розділ</w:t>
      </w:r>
      <w:r w:rsidR="00D73C32">
        <w:rPr>
          <w:rFonts w:ascii="Times New Roman" w:hAnsi="Times New Roman" w:cs="Times New Roman"/>
          <w:sz w:val="28"/>
          <w:szCs w:val="28"/>
          <w:u w:val="single"/>
          <w:lang w:val="uk-UA"/>
        </w:rPr>
        <w:t> </w:t>
      </w:r>
      <w:r w:rsidRPr="00D73C32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Pr="00A06F2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706F76" w:rsidRPr="00A06F26">
        <w:rPr>
          <w:rFonts w:ascii="Times New Roman" w:hAnsi="Times New Roman" w:cs="Times New Roman"/>
          <w:sz w:val="28"/>
          <w:szCs w:val="28"/>
          <w:lang w:val="uk-UA"/>
        </w:rPr>
        <w:t>Аналітична частина Стратегії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54770" w:rsidRPr="00D54770">
        <w:rPr>
          <w:rFonts w:ascii="Times New Roman" w:hAnsi="Times New Roman" w:cs="Times New Roman"/>
          <w:sz w:val="28"/>
          <w:szCs w:val="28"/>
          <w:lang w:val="uk-UA"/>
        </w:rPr>
        <w:t xml:space="preserve">Цей розділ містить всебічний аналіз поточної ситуації та потенціалу Лозівської </w:t>
      </w:r>
      <w:proofErr w:type="spellStart"/>
      <w:r w:rsidR="00D54770" w:rsidRPr="00D54770">
        <w:rPr>
          <w:rFonts w:ascii="Times New Roman" w:hAnsi="Times New Roman" w:cs="Times New Roman"/>
          <w:sz w:val="28"/>
          <w:szCs w:val="28"/>
          <w:lang w:val="uk-UA"/>
        </w:rPr>
        <w:t>МТГ</w:t>
      </w:r>
      <w:proofErr w:type="spellEnd"/>
      <w:r w:rsidR="00D54770" w:rsidRPr="00D54770">
        <w:rPr>
          <w:rFonts w:ascii="Times New Roman" w:hAnsi="Times New Roman" w:cs="Times New Roman"/>
          <w:sz w:val="28"/>
          <w:szCs w:val="28"/>
          <w:lang w:val="uk-UA"/>
        </w:rPr>
        <w:t>, що є основою для визначення стратегічних пріоритетів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72FADD" w14:textId="4BD8C9E4" w:rsidR="00A06F26" w:rsidRPr="00A06F26" w:rsidRDefault="00A06F26" w:rsidP="00A06F2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6F26">
        <w:rPr>
          <w:rFonts w:ascii="Times New Roman" w:hAnsi="Times New Roman" w:cs="Times New Roman"/>
          <w:sz w:val="28"/>
          <w:szCs w:val="28"/>
          <w:lang w:val="uk-UA"/>
        </w:rPr>
        <w:t>SWOT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uk-UA"/>
        </w:rPr>
        <w:t>-аналіз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706F76">
        <w:rPr>
          <w:rFonts w:ascii="Times New Roman" w:hAnsi="Times New Roman" w:cs="Times New Roman"/>
          <w:sz w:val="28"/>
          <w:szCs w:val="28"/>
          <w:u w:val="single"/>
          <w:lang w:val="uk-UA"/>
        </w:rPr>
        <w:t>Розділ 2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06F26">
        <w:rPr>
          <w:rFonts w:ascii="Times New Roman" w:hAnsi="Times New Roman" w:cs="Times New Roman"/>
          <w:sz w:val="28"/>
          <w:szCs w:val="28"/>
          <w:lang w:val="uk-UA"/>
        </w:rPr>
        <w:t>, складений в процесі розробки Стратегії, визначає сильні та слабкі сторони, можливості та загрози, основні з яких: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8276"/>
      </w:tblGrid>
      <w:tr w:rsidR="00A06F26" w:rsidRPr="00A06F26" w14:paraId="013BBC17" w14:textId="77777777" w:rsidTr="00F1236A">
        <w:tc>
          <w:tcPr>
            <w:tcW w:w="1685" w:type="dxa"/>
          </w:tcPr>
          <w:p w14:paraId="3D0E9A18" w14:textId="77777777" w:rsidR="00A06F26" w:rsidRPr="00A06F26" w:rsidRDefault="00A06F26" w:rsidP="00A06F26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A06F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Напрямок</w:t>
            </w:r>
          </w:p>
        </w:tc>
        <w:tc>
          <w:tcPr>
            <w:tcW w:w="8276" w:type="dxa"/>
          </w:tcPr>
          <w:p w14:paraId="743A7231" w14:textId="77777777" w:rsidR="00A06F26" w:rsidRPr="00A06F26" w:rsidRDefault="00A06F26" w:rsidP="00A06F26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A06F2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Основні тези</w:t>
            </w:r>
          </w:p>
        </w:tc>
      </w:tr>
      <w:tr w:rsidR="00A06F26" w:rsidRPr="00A06F26" w14:paraId="7A2F1923" w14:textId="77777777" w:rsidTr="00F1236A">
        <w:tc>
          <w:tcPr>
            <w:tcW w:w="1685" w:type="dxa"/>
          </w:tcPr>
          <w:p w14:paraId="6BAB5C40" w14:textId="77777777" w:rsidR="00A06F26" w:rsidRPr="00A06F26" w:rsidRDefault="00A06F26" w:rsidP="00A06F2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Сильні сторони</w:t>
            </w:r>
          </w:p>
        </w:tc>
        <w:tc>
          <w:tcPr>
            <w:tcW w:w="8276" w:type="dxa"/>
          </w:tcPr>
          <w:p w14:paraId="27FEEF4D" w14:textId="77777777" w:rsidR="00A06F26" w:rsidRPr="00A06F26" w:rsidRDefault="00A06F26" w:rsidP="00A06F2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Вигідне транспортно-логістичне розташування, розвинена освітня мережа, традиції машинобудування, значні земельні ресурси для </w:t>
            </w:r>
            <w:proofErr w:type="spellStart"/>
            <w:r w:rsidRPr="00A06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агропромисловості</w:t>
            </w:r>
            <w:proofErr w:type="spellEnd"/>
            <w:r w:rsidRPr="00A06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06F26" w:rsidRPr="00A06F26" w14:paraId="6F557D2E" w14:textId="77777777" w:rsidTr="00F1236A">
        <w:tc>
          <w:tcPr>
            <w:tcW w:w="1685" w:type="dxa"/>
          </w:tcPr>
          <w:p w14:paraId="7BE44E72" w14:textId="77777777" w:rsidR="00A06F26" w:rsidRPr="00A06F26" w:rsidRDefault="00A06F26" w:rsidP="00A06F2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Слабкі сторони</w:t>
            </w:r>
          </w:p>
        </w:tc>
        <w:tc>
          <w:tcPr>
            <w:tcW w:w="8276" w:type="dxa"/>
          </w:tcPr>
          <w:p w14:paraId="00A259A3" w14:textId="77777777" w:rsidR="00A06F26" w:rsidRPr="00A06F26" w:rsidRDefault="00A06F26" w:rsidP="00A06F2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Зношена транспортна та інженерна інфраструктура, дефіцит кваліфікованих кадрів, обмеженість робочих місць на селі, низький рівень </w:t>
            </w:r>
            <w:proofErr w:type="spellStart"/>
            <w:r w:rsidRPr="00A06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цифровізації</w:t>
            </w:r>
            <w:proofErr w:type="spellEnd"/>
            <w:r w:rsidRPr="00A06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залежність від централізованого водопостачання.</w:t>
            </w:r>
          </w:p>
        </w:tc>
      </w:tr>
      <w:tr w:rsidR="00A06F26" w:rsidRPr="00A06F26" w14:paraId="5F37D06B" w14:textId="77777777" w:rsidTr="00F1236A">
        <w:tc>
          <w:tcPr>
            <w:tcW w:w="1685" w:type="dxa"/>
          </w:tcPr>
          <w:p w14:paraId="3DB04C0B" w14:textId="77777777" w:rsidR="00A06F26" w:rsidRPr="00A06F26" w:rsidRDefault="00A06F26" w:rsidP="00A06F2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Можливості</w:t>
            </w:r>
          </w:p>
        </w:tc>
        <w:tc>
          <w:tcPr>
            <w:tcW w:w="8276" w:type="dxa"/>
          </w:tcPr>
          <w:p w14:paraId="2F620A74" w14:textId="77777777" w:rsidR="00A06F26" w:rsidRPr="00A06F26" w:rsidRDefault="00A06F26" w:rsidP="00A06F2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міжнародних грантів/інвестицій, розвиток транзитного потенціалу, агропереробки, туризму та відновлюваної енергетики, використання вільних земель і будівель (</w:t>
            </w:r>
            <w:proofErr w:type="spellStart"/>
            <w:r w:rsidRPr="00A06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браунфілдів</w:t>
            </w:r>
            <w:proofErr w:type="spellEnd"/>
            <w:r w:rsidRPr="00A06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</w:tr>
      <w:tr w:rsidR="00A06F26" w:rsidRPr="00A06F26" w14:paraId="3C9CF4CD" w14:textId="77777777" w:rsidTr="00F1236A">
        <w:tc>
          <w:tcPr>
            <w:tcW w:w="1685" w:type="dxa"/>
          </w:tcPr>
          <w:p w14:paraId="7B436F43" w14:textId="77777777" w:rsidR="00A06F26" w:rsidRPr="00A06F26" w:rsidRDefault="00A06F26" w:rsidP="00A06F2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Загрози</w:t>
            </w:r>
          </w:p>
        </w:tc>
        <w:tc>
          <w:tcPr>
            <w:tcW w:w="8276" w:type="dxa"/>
          </w:tcPr>
          <w:p w14:paraId="651047BC" w14:textId="77777777" w:rsidR="00A06F26" w:rsidRPr="00A06F26" w:rsidRDefault="00A06F26" w:rsidP="00A06F2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6F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Війна та близькість до зони бойових дій, демографічні проблеми (старіння, відтік ресурсів), економічна та політична нестабільність, корупційні ризики, зростання цін на енергоносії.</w:t>
            </w:r>
          </w:p>
        </w:tc>
      </w:tr>
    </w:tbl>
    <w:p w14:paraId="225AC000" w14:textId="57921875" w:rsidR="00F1236A" w:rsidRDefault="00F1236A" w:rsidP="00F1236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770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Комплексний </w:t>
      </w:r>
      <w:r w:rsidRPr="00D54770">
        <w:rPr>
          <w:rFonts w:ascii="Times New Roman" w:hAnsi="Times New Roman" w:cs="Times New Roman"/>
          <w:sz w:val="28"/>
          <w:szCs w:val="28"/>
        </w:rPr>
        <w:t>SWOT</w:t>
      </w:r>
      <w:r w:rsidRPr="00D54770">
        <w:rPr>
          <w:rFonts w:ascii="Times New Roman" w:hAnsi="Times New Roman" w:cs="Times New Roman"/>
          <w:sz w:val="28"/>
          <w:szCs w:val="28"/>
          <w:lang w:val="uk-UA"/>
        </w:rPr>
        <w:t>-аналіз</w:t>
      </w:r>
      <w:r w:rsidRPr="00D54770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</w:t>
      </w:r>
      <w:r w:rsidRPr="00F12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236A">
        <w:rPr>
          <w:rFonts w:ascii="Times New Roman" w:hAnsi="Times New Roman" w:cs="Times New Roman"/>
          <w:sz w:val="28"/>
          <w:szCs w:val="28"/>
          <w:lang w:val="uk-UA"/>
        </w:rPr>
        <w:t xml:space="preserve">систематизацію </w:t>
      </w:r>
      <w:r w:rsidRPr="00F1236A">
        <w:rPr>
          <w:rFonts w:ascii="Times New Roman" w:hAnsi="Times New Roman" w:cs="Times New Roman"/>
          <w:sz w:val="28"/>
          <w:szCs w:val="28"/>
          <w:lang w:val="uk-UA"/>
        </w:rPr>
        <w:t>виявлених сильних і слабких сторін громади, а також можливостей та загроз</w:t>
      </w:r>
      <w:r w:rsidRPr="00F1236A">
        <w:rPr>
          <w:rFonts w:ascii="Times New Roman" w:hAnsi="Times New Roman" w:cs="Times New Roman"/>
          <w:sz w:val="28"/>
          <w:szCs w:val="28"/>
          <w:lang w:val="uk-UA"/>
        </w:rPr>
        <w:t>, формує їх вз</w:t>
      </w:r>
      <w:r>
        <w:rPr>
          <w:rFonts w:ascii="Times New Roman" w:hAnsi="Times New Roman" w:cs="Times New Roman"/>
          <w:sz w:val="28"/>
          <w:szCs w:val="28"/>
          <w:lang w:val="uk-UA"/>
        </w:rPr>
        <w:t>аємозв’язок.</w:t>
      </w:r>
    </w:p>
    <w:p w14:paraId="6C683FD3" w14:textId="00426544" w:rsidR="00A06F26" w:rsidRPr="00A06F26" w:rsidRDefault="00A06F26" w:rsidP="003447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F76">
        <w:rPr>
          <w:rFonts w:ascii="Times New Roman" w:hAnsi="Times New Roman" w:cs="Times New Roman"/>
          <w:sz w:val="28"/>
          <w:szCs w:val="28"/>
          <w:u w:val="single"/>
          <w:lang w:val="uk-UA"/>
        </w:rPr>
        <w:t>Розділ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Стратегії 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>формує с</w:t>
      </w:r>
      <w:r w:rsidR="00D54770" w:rsidRPr="00D54770">
        <w:rPr>
          <w:rFonts w:ascii="Times New Roman" w:hAnsi="Times New Roman" w:cs="Times New Roman"/>
          <w:sz w:val="28"/>
          <w:szCs w:val="28"/>
          <w:lang w:val="uk-UA"/>
        </w:rPr>
        <w:t xml:space="preserve">тратегічне бачення 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="00D54770" w:rsidRPr="00D54770">
        <w:rPr>
          <w:rFonts w:ascii="Times New Roman" w:hAnsi="Times New Roman" w:cs="Times New Roman"/>
          <w:sz w:val="28"/>
          <w:szCs w:val="28"/>
          <w:lang w:val="uk-UA"/>
        </w:rPr>
        <w:t xml:space="preserve">Лозівської </w:t>
      </w:r>
      <w:proofErr w:type="spellStart"/>
      <w:r w:rsidR="00D54770" w:rsidRPr="00D54770">
        <w:rPr>
          <w:rFonts w:ascii="Times New Roman" w:hAnsi="Times New Roman" w:cs="Times New Roman"/>
          <w:sz w:val="28"/>
          <w:szCs w:val="28"/>
          <w:lang w:val="uk-UA"/>
        </w:rPr>
        <w:t>МТГ</w:t>
      </w:r>
      <w:proofErr w:type="spellEnd"/>
      <w:r w:rsidR="00D54770">
        <w:rPr>
          <w:rFonts w:ascii="Times New Roman" w:hAnsi="Times New Roman" w:cs="Times New Roman"/>
          <w:sz w:val="28"/>
          <w:szCs w:val="28"/>
          <w:lang w:val="uk-UA"/>
        </w:rPr>
        <w:t xml:space="preserve"> та описує можливі сценарії розвитку </w:t>
      </w:r>
      <w:r w:rsidR="0034476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4476C" w:rsidRPr="0034476C">
        <w:rPr>
          <w:rFonts w:ascii="Times New Roman" w:hAnsi="Times New Roman" w:cs="Times New Roman"/>
          <w:sz w:val="28"/>
          <w:szCs w:val="28"/>
          <w:lang w:val="uk-UA"/>
        </w:rPr>
        <w:t>Інерційний</w:t>
      </w:r>
      <w:r w:rsidR="0034476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4476C" w:rsidRPr="0034476C">
        <w:rPr>
          <w:rFonts w:ascii="Times New Roman" w:hAnsi="Times New Roman" w:cs="Times New Roman"/>
          <w:sz w:val="28"/>
          <w:szCs w:val="28"/>
          <w:lang w:val="uk-UA"/>
        </w:rPr>
        <w:t>Оптимістичний</w:t>
      </w:r>
      <w:r w:rsidR="0034476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4476C" w:rsidRPr="0034476C">
        <w:rPr>
          <w:rFonts w:ascii="Times New Roman" w:hAnsi="Times New Roman" w:cs="Times New Roman"/>
          <w:sz w:val="28"/>
          <w:szCs w:val="28"/>
          <w:lang w:val="uk-UA"/>
        </w:rPr>
        <w:t>Песимістичний</w:t>
      </w:r>
      <w:r w:rsidR="0034476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 xml:space="preserve">в залежності від різних факторів </w:t>
      </w:r>
      <w:r w:rsidR="00D54770" w:rsidRPr="00D54770">
        <w:rPr>
          <w:rFonts w:ascii="Times New Roman" w:hAnsi="Times New Roman" w:cs="Times New Roman"/>
          <w:sz w:val="28"/>
          <w:szCs w:val="28"/>
          <w:lang w:val="uk-UA"/>
        </w:rPr>
        <w:t>політичн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>ої та економічної сфер, демографічних соціальних та екологічних показників.</w:t>
      </w:r>
    </w:p>
    <w:p w14:paraId="76657C4F" w14:textId="0D4A844A" w:rsidR="00A06F26" w:rsidRPr="00A06F26" w:rsidRDefault="00A06F26" w:rsidP="00A06F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26"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 w:rsidR="00344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76C" w:rsidRPr="00706F76">
        <w:rPr>
          <w:rFonts w:ascii="Times New Roman" w:hAnsi="Times New Roman" w:cs="Times New Roman"/>
          <w:sz w:val="28"/>
          <w:szCs w:val="28"/>
          <w:u w:val="single"/>
          <w:lang w:val="uk-UA"/>
        </w:rPr>
        <w:t>розділі 4</w:t>
      </w:r>
      <w:r w:rsidRPr="00A06F26">
        <w:rPr>
          <w:rFonts w:ascii="Times New Roman" w:hAnsi="Times New Roman" w:cs="Times New Roman"/>
          <w:sz w:val="28"/>
          <w:szCs w:val="28"/>
          <w:lang w:val="uk-UA"/>
        </w:rPr>
        <w:t xml:space="preserve"> Стратегії сформовано Стратегічне бачення (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uk-UA"/>
        </w:rPr>
        <w:t>візію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uk-UA"/>
        </w:rPr>
        <w:t>) розвитку громади:</w:t>
      </w:r>
    </w:p>
    <w:p w14:paraId="2E5EC9E0" w14:textId="77777777" w:rsidR="00A06F26" w:rsidRPr="00A06F26" w:rsidRDefault="00A06F26" w:rsidP="00A06F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Лозівська міська територіальна громада Лозівського району Харківської області </w:t>
      </w:r>
      <w:r w:rsidRPr="00A06F26">
        <w:rPr>
          <w:rFonts w:ascii="Times New Roman" w:hAnsi="Times New Roman" w:cs="Times New Roman"/>
          <w:sz w:val="28"/>
          <w:szCs w:val="28"/>
          <w:lang w:val="uk-UA"/>
        </w:rPr>
        <w:t>– це спроможна та конкурентоспроможна Громада півдня Харківської області з розвиненою промисловістю, сільським господарством, підприємництвом і транспортною інфраструктурою. Вона є територією економічної динаміки та інвестиційної привабливості, де забезпечено якісну освіту, сучасну медицину, спортивний, культурний розвиток і соціальний захист мешканців. Громада формує безпечне та екологічно збалансоване середовище, впроваджує ефективне управління та зберігає високий рівень довіри, створюючи простір гідного й комфортного життя.</w:t>
      </w:r>
    </w:p>
    <w:p w14:paraId="057374DD" w14:textId="77777777" w:rsidR="00A06F26" w:rsidRPr="00A06F26" w:rsidRDefault="00A06F26" w:rsidP="00A06F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26">
        <w:rPr>
          <w:rFonts w:ascii="Times New Roman" w:hAnsi="Times New Roman" w:cs="Times New Roman"/>
          <w:sz w:val="28"/>
          <w:szCs w:val="28"/>
          <w:lang w:val="uk-UA"/>
        </w:rPr>
        <w:t>Стратегія має ієрархічну природу, тобто, вона складається із системи цілей, нижчі з яких підпорядковані вищим і перебувають у системних взаємозв’язках між собою. Стратегічні цілі визначають ключові напрями розвитку Громади, що випливають із її бачення майбутнього. Кожна стратегічна ціль розкривається через оперативні цілі — конкретні та обмежені в часі алгоритми дій, спрямовані на досягнення стратегічних пріоритетів. Виконання оперативних цілей забезпечує досягнення стратегічних.</w:t>
      </w:r>
    </w:p>
    <w:p w14:paraId="3956F7A3" w14:textId="77777777" w:rsidR="00A06F26" w:rsidRPr="00A06F26" w:rsidRDefault="00A06F26" w:rsidP="00A06F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26">
        <w:rPr>
          <w:rFonts w:ascii="Times New Roman" w:hAnsi="Times New Roman" w:cs="Times New Roman"/>
          <w:sz w:val="28"/>
          <w:szCs w:val="28"/>
          <w:lang w:val="uk-UA"/>
        </w:rPr>
        <w:t>Виходячи з конкурентних переваг громади та для досягнення стратегічного бачення, було обрано три стратегічні цілі:</w:t>
      </w:r>
    </w:p>
    <w:p w14:paraId="5866E847" w14:textId="77777777" w:rsidR="00A06F26" w:rsidRPr="00A06F26" w:rsidRDefault="00A06F26" w:rsidP="00A06F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26">
        <w:rPr>
          <w:rFonts w:ascii="Times New Roman" w:hAnsi="Times New Roman" w:cs="Times New Roman"/>
          <w:b/>
          <w:bCs/>
          <w:sz w:val="28"/>
          <w:szCs w:val="28"/>
          <w:lang w:val="uk-UA"/>
        </w:rPr>
        <w:t>1. Розвиток економічного потенціалу громади</w:t>
      </w:r>
    </w:p>
    <w:p w14:paraId="7EE9D13E" w14:textId="77777777" w:rsidR="00A06F26" w:rsidRPr="00A06F26" w:rsidRDefault="00A06F26" w:rsidP="00A06F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26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Основні напрями:</w:t>
      </w:r>
      <w:r w:rsidRPr="00A06F26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умов для розвитку бізнес-середовища, підвищення інвестиційної привабливості, узгоджене управління просторовим розвитком, розвиток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uk-UA"/>
        </w:rPr>
        <w:t>агропідприємництва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uk-UA"/>
        </w:rPr>
        <w:t xml:space="preserve"> та промислового сектору, підвищення енергоефективності. Всього до Стратегічної цілі сформовано 9 оперативних цілей до яких визначено 70 завдань / заходів /</w:t>
      </w:r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6F26">
        <w:rPr>
          <w:rFonts w:ascii="Times New Roman" w:hAnsi="Times New Roman" w:cs="Times New Roman"/>
          <w:sz w:val="28"/>
          <w:szCs w:val="28"/>
          <w:lang w:val="uk-UA"/>
        </w:rPr>
        <w:t>Напрямів ПІ.</w:t>
      </w:r>
    </w:p>
    <w:p w14:paraId="6B0D357A" w14:textId="77777777" w:rsidR="00A06F26" w:rsidRPr="00A06F26" w:rsidRDefault="00A06F26" w:rsidP="00A06F26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6F2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A06F2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Підвищення</w:t>
      </w:r>
      <w:proofErr w:type="spellEnd"/>
      <w:r w:rsidRPr="00A06F2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06F26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якості</w:t>
      </w:r>
      <w:proofErr w:type="spellEnd"/>
      <w:r w:rsidRPr="00A06F2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06F26">
        <w:rPr>
          <w:rFonts w:ascii="Times New Roman" w:hAnsi="Times New Roman" w:cs="Times New Roman"/>
          <w:b/>
          <w:bCs/>
          <w:sz w:val="28"/>
          <w:szCs w:val="28"/>
          <w:lang w:val="ru-RU"/>
        </w:rPr>
        <w:t>життя</w:t>
      </w:r>
      <w:proofErr w:type="spellEnd"/>
      <w:r w:rsidRPr="00A06F2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A06F26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безпеки</w:t>
      </w:r>
      <w:proofErr w:type="spellEnd"/>
      <w:r w:rsidRPr="00A06F2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06F2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мешканців</w:t>
      </w:r>
      <w:proofErr w:type="spellEnd"/>
      <w:r w:rsidRPr="00A06F2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06F26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громади</w:t>
      </w:r>
      <w:proofErr w:type="spellEnd"/>
    </w:p>
    <w:p w14:paraId="74C97032" w14:textId="77777777" w:rsidR="00A06F26" w:rsidRPr="00A06F26" w:rsidRDefault="00A06F26" w:rsidP="00A06F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6F26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Основні</w:t>
      </w:r>
      <w:proofErr w:type="spellEnd"/>
      <w:r w:rsidRPr="00A06F2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A06F26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напрями</w:t>
      </w:r>
      <w:proofErr w:type="spellEnd"/>
      <w:r w:rsidRPr="00A06F26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комфортного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життєвого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простору,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громадська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укриття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оповіщення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доступність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безбар’єрність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якісні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житлово-комунальні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медичні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якісна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спорту та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ветеранів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06F26">
        <w:rPr>
          <w:rFonts w:ascii="Times New Roman" w:hAnsi="Times New Roman" w:cs="Times New Roman"/>
          <w:sz w:val="28"/>
          <w:szCs w:val="28"/>
          <w:lang w:val="uk-UA"/>
        </w:rPr>
        <w:t>Всього до Стратегічної цілі сформовано 16 оперативних цілей до яких визначено 150 завдань / заходів /</w:t>
      </w:r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6F26">
        <w:rPr>
          <w:rFonts w:ascii="Times New Roman" w:hAnsi="Times New Roman" w:cs="Times New Roman"/>
          <w:sz w:val="28"/>
          <w:szCs w:val="28"/>
          <w:lang w:val="uk-UA"/>
        </w:rPr>
        <w:t>Напрямів ПІ.</w:t>
      </w:r>
    </w:p>
    <w:p w14:paraId="6EE21723" w14:textId="77777777" w:rsidR="00A06F26" w:rsidRPr="00A06F26" w:rsidRDefault="00A06F26" w:rsidP="00A06F26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6F26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Ефективне управління громадою</w:t>
      </w:r>
    </w:p>
    <w:p w14:paraId="729E85FC" w14:textId="77777777" w:rsidR="00A06F26" w:rsidRPr="00A06F26" w:rsidRDefault="00A06F26" w:rsidP="00A06F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F26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Основні напрями:</w:t>
      </w:r>
      <w:r w:rsidRPr="00A06F26">
        <w:rPr>
          <w:rFonts w:ascii="Times New Roman" w:hAnsi="Times New Roman" w:cs="Times New Roman"/>
          <w:sz w:val="28"/>
          <w:szCs w:val="28"/>
          <w:lang w:val="uk-UA"/>
        </w:rPr>
        <w:t xml:space="preserve"> Розвиток інституційної спроможності органів місцевого самоврядування,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управління, підтримка громадської активності, розвиток муніципального партнерства. Всього до Стратегічної цілі сформовано 11 оперативних цілей до яких визначено 67 завдань / заходів /</w:t>
      </w:r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6F26">
        <w:rPr>
          <w:rFonts w:ascii="Times New Roman" w:hAnsi="Times New Roman" w:cs="Times New Roman"/>
          <w:sz w:val="28"/>
          <w:szCs w:val="28"/>
          <w:lang w:val="uk-UA"/>
        </w:rPr>
        <w:t>Напрямів ПІ.</w:t>
      </w:r>
    </w:p>
    <w:p w14:paraId="46870085" w14:textId="77777777" w:rsidR="00A06F26" w:rsidRPr="00A06F26" w:rsidRDefault="00A06F26" w:rsidP="00A06F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Детально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оперативні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цілі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та заходи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розписані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розділі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Pr="00A06F26">
        <w:rPr>
          <w:rFonts w:ascii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A06F2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0197EE" w14:textId="40F5D467" w:rsidR="00F1236A" w:rsidRDefault="0034476C" w:rsidP="003447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76C">
        <w:rPr>
          <w:rFonts w:ascii="Times New Roman" w:hAnsi="Times New Roman" w:cs="Times New Roman"/>
          <w:sz w:val="28"/>
          <w:szCs w:val="28"/>
          <w:lang w:val="uk-UA"/>
        </w:rPr>
        <w:t xml:space="preserve">Стратегія корелюється з Державною стратегією регіонального розвитку та Стратегією розвитку Харківської області, що забезпечує узгодженість цілей на </w:t>
      </w:r>
      <w:r w:rsidRPr="0034476C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місцевому та регіональному рівнях.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Узгодженість стратегічних та оперативних цілей описана в розділі 6 Стратегії, </w:t>
      </w:r>
      <w:r w:rsidRPr="0034476C">
        <w:rPr>
          <w:rFonts w:ascii="Times New Roman" w:hAnsi="Times New Roman" w:cs="Times New Roman"/>
          <w:sz w:val="28"/>
          <w:szCs w:val="28"/>
          <w:lang w:val="uk-UA"/>
        </w:rPr>
        <w:t>аналіз відповідності стратегічних та оперативних цілей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сформовано в</w:t>
      </w:r>
      <w:r w:rsidRPr="0034476C">
        <w:rPr>
          <w:rFonts w:ascii="Times New Roman" w:hAnsi="Times New Roman" w:cs="Times New Roman"/>
          <w:sz w:val="28"/>
          <w:szCs w:val="28"/>
          <w:lang w:val="uk-UA"/>
        </w:rPr>
        <w:t xml:space="preserve"> додат</w:t>
      </w:r>
      <w:r>
        <w:rPr>
          <w:rFonts w:ascii="Times New Roman" w:hAnsi="Times New Roman" w:cs="Times New Roman"/>
          <w:sz w:val="28"/>
          <w:szCs w:val="28"/>
          <w:lang w:val="uk-UA"/>
        </w:rPr>
        <w:t>ках</w:t>
      </w:r>
      <w:r w:rsidRPr="00344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476C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</w:t>
      </w:r>
      <w:r w:rsidRPr="003447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9DF7B0" w14:textId="52DF67AC" w:rsidR="00401F81" w:rsidRPr="0034476C" w:rsidRDefault="00401F81" w:rsidP="0034476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1F81">
        <w:rPr>
          <w:rFonts w:ascii="Times New Roman" w:hAnsi="Times New Roman" w:cs="Times New Roman"/>
          <w:sz w:val="28"/>
          <w:szCs w:val="28"/>
          <w:lang w:val="uk-UA"/>
        </w:rPr>
        <w:t xml:space="preserve">Розділ 7. </w:t>
      </w:r>
      <w:r w:rsidR="004236C3">
        <w:rPr>
          <w:rFonts w:ascii="Times New Roman" w:hAnsi="Times New Roman" w:cs="Times New Roman"/>
          <w:sz w:val="28"/>
          <w:szCs w:val="28"/>
          <w:lang w:val="uk-UA"/>
        </w:rPr>
        <w:t xml:space="preserve">Стратегії визначає основні моменти щодо розробки </w:t>
      </w:r>
      <w:r w:rsidR="004236C3" w:rsidRPr="004236C3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4236C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236C3" w:rsidRPr="004236C3">
        <w:rPr>
          <w:rFonts w:ascii="Times New Roman" w:hAnsi="Times New Roman" w:cs="Times New Roman"/>
          <w:sz w:val="28"/>
          <w:szCs w:val="28"/>
          <w:lang w:val="uk-UA"/>
        </w:rPr>
        <w:t xml:space="preserve"> заходів з реалізації Стратегії розвитку Лозівської міської територіальної громади Лозівського району Харківської області на 2025–2027 роки</w:t>
      </w:r>
      <w:r w:rsidR="004236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01F81">
        <w:rPr>
          <w:rFonts w:ascii="Times New Roman" w:hAnsi="Times New Roman" w:cs="Times New Roman"/>
          <w:sz w:val="28"/>
          <w:szCs w:val="28"/>
          <w:lang w:val="uk-UA"/>
        </w:rPr>
        <w:t>проведення моніторингу, оцінювання реалізації стратегії та управління ризиками</w:t>
      </w:r>
      <w:r w:rsidR="004236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E66BC3" w14:textId="12230EF5" w:rsidR="006A2F7D" w:rsidRDefault="00F1236A" w:rsidP="00F1236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236A">
        <w:rPr>
          <w:rFonts w:ascii="Times New Roman" w:hAnsi="Times New Roman" w:cs="Times New Roman"/>
          <w:sz w:val="28"/>
          <w:szCs w:val="28"/>
          <w:lang w:val="ru-RU"/>
        </w:rPr>
        <w:t xml:space="preserve">Документ є </w:t>
      </w:r>
      <w:proofErr w:type="spellStart"/>
      <w:r w:rsidRPr="00F1236A">
        <w:rPr>
          <w:rFonts w:ascii="Times New Roman" w:hAnsi="Times New Roman" w:cs="Times New Roman"/>
          <w:sz w:val="28"/>
          <w:szCs w:val="28"/>
          <w:lang w:val="ru-RU"/>
        </w:rPr>
        <w:t>структурованим</w:t>
      </w:r>
      <w:proofErr w:type="spellEnd"/>
      <w:r w:rsidRPr="00F1236A">
        <w:rPr>
          <w:rFonts w:ascii="Times New Roman" w:hAnsi="Times New Roman" w:cs="Times New Roman"/>
          <w:sz w:val="28"/>
          <w:szCs w:val="28"/>
          <w:lang w:val="ru-RU"/>
        </w:rPr>
        <w:t xml:space="preserve"> за принципом: </w:t>
      </w:r>
      <w:proofErr w:type="spellStart"/>
      <w:r w:rsidRPr="00F1236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</w:t>
      </w:r>
      <w:proofErr w:type="spellEnd"/>
      <w:r w:rsidRPr="00F123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→ </w:t>
      </w:r>
      <w:proofErr w:type="spellStart"/>
      <w:r w:rsidRPr="00F1236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Визначення</w:t>
      </w:r>
      <w:proofErr w:type="spellEnd"/>
      <w:r w:rsidRPr="00F123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1236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пріоритетів</w:t>
      </w:r>
      <w:proofErr w:type="spellEnd"/>
      <w:r w:rsidRPr="00F123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→ </w:t>
      </w:r>
      <w:proofErr w:type="spellStart"/>
      <w:r w:rsidRPr="00F1236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Планування</w:t>
      </w:r>
      <w:proofErr w:type="spellEnd"/>
      <w:r w:rsidRPr="00F1236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1236A">
        <w:rPr>
          <w:rFonts w:ascii="Times New Roman" w:hAnsi="Times New Roman" w:cs="Times New Roman"/>
          <w:b/>
          <w:bCs/>
          <w:sz w:val="28"/>
          <w:szCs w:val="28"/>
          <w:lang w:val="ru-RU"/>
        </w:rPr>
        <w:t>дій</w:t>
      </w:r>
      <w:proofErr w:type="spellEnd"/>
      <w:r w:rsidRPr="00F123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1236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1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236A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F1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236A">
        <w:rPr>
          <w:rFonts w:ascii="Times New Roman" w:hAnsi="Times New Roman" w:cs="Times New Roman"/>
          <w:sz w:val="28"/>
          <w:szCs w:val="28"/>
          <w:lang w:val="ru-RU"/>
        </w:rPr>
        <w:t>логічний</w:t>
      </w:r>
      <w:proofErr w:type="spellEnd"/>
      <w:r w:rsidRPr="00F1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236A">
        <w:rPr>
          <w:rFonts w:ascii="Times New Roman" w:hAnsi="Times New Roman" w:cs="Times New Roman"/>
          <w:sz w:val="28"/>
          <w:szCs w:val="28"/>
          <w:lang w:val="ru-RU"/>
        </w:rPr>
        <w:t>перехід</w:t>
      </w:r>
      <w:proofErr w:type="spellEnd"/>
      <w:r w:rsidRPr="00F1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236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1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236A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F1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236A">
        <w:rPr>
          <w:rFonts w:ascii="Times New Roman" w:hAnsi="Times New Roman" w:cs="Times New Roman"/>
          <w:sz w:val="28"/>
          <w:szCs w:val="28"/>
          <w:lang w:val="ru-RU"/>
        </w:rPr>
        <w:t>поточної</w:t>
      </w:r>
      <w:proofErr w:type="spellEnd"/>
      <w:r w:rsidRPr="00F1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236A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F1236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1236A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F1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236A">
        <w:rPr>
          <w:rFonts w:ascii="Times New Roman" w:hAnsi="Times New Roman" w:cs="Times New Roman"/>
          <w:sz w:val="28"/>
          <w:szCs w:val="28"/>
          <w:lang w:val="ru-RU"/>
        </w:rPr>
        <w:t>конкретних</w:t>
      </w:r>
      <w:proofErr w:type="spellEnd"/>
      <w:r w:rsidRPr="00F1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236A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F1236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1236A">
        <w:rPr>
          <w:rFonts w:ascii="Times New Roman" w:hAnsi="Times New Roman" w:cs="Times New Roman"/>
          <w:sz w:val="28"/>
          <w:szCs w:val="28"/>
          <w:lang w:val="ru-RU"/>
        </w:rPr>
        <w:t>середньострокову</w:t>
      </w:r>
      <w:proofErr w:type="spellEnd"/>
      <w:r w:rsidRPr="00F1236A">
        <w:rPr>
          <w:rFonts w:ascii="Times New Roman" w:hAnsi="Times New Roman" w:cs="Times New Roman"/>
          <w:sz w:val="28"/>
          <w:szCs w:val="28"/>
          <w:lang w:val="ru-RU"/>
        </w:rPr>
        <w:t xml:space="preserve"> перспективу.</w:t>
      </w:r>
    </w:p>
    <w:p w14:paraId="0D851EA1" w14:textId="77777777" w:rsidR="004236C3" w:rsidRDefault="004236C3" w:rsidP="004236C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7D9FAB" w14:textId="77777777" w:rsidR="004236C3" w:rsidRDefault="004236C3" w:rsidP="004236C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90D641" w14:textId="77777777" w:rsidR="004236C3" w:rsidRDefault="004236C3" w:rsidP="004236C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9BC1D8" w14:textId="77777777" w:rsidR="004236C3" w:rsidRPr="004236C3" w:rsidRDefault="004236C3" w:rsidP="00C30ED5">
      <w:pPr>
        <w:tabs>
          <w:tab w:val="left" w:pos="6804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236C3">
        <w:rPr>
          <w:rFonts w:ascii="Times New Roman" w:hAnsi="Times New Roman"/>
          <w:b/>
          <w:bCs/>
          <w:sz w:val="28"/>
          <w:szCs w:val="28"/>
          <w:lang w:val="ru-RU"/>
        </w:rPr>
        <w:t xml:space="preserve">Начальник </w:t>
      </w:r>
      <w:proofErr w:type="spellStart"/>
      <w:r w:rsidRPr="004236C3">
        <w:rPr>
          <w:rFonts w:ascii="Times New Roman" w:hAnsi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4236C3">
        <w:rPr>
          <w:rFonts w:ascii="Times New Roman" w:hAnsi="Times New Roman"/>
          <w:b/>
          <w:bCs/>
          <w:sz w:val="28"/>
          <w:szCs w:val="28"/>
          <w:lang w:val="ru-RU"/>
        </w:rPr>
        <w:tab/>
      </w:r>
      <w:proofErr w:type="spellStart"/>
      <w:r w:rsidRPr="004236C3">
        <w:rPr>
          <w:rFonts w:ascii="Times New Roman" w:hAnsi="Times New Roman"/>
          <w:b/>
          <w:bCs/>
          <w:sz w:val="28"/>
          <w:szCs w:val="28"/>
          <w:lang w:val="ru-RU"/>
        </w:rPr>
        <w:t>Сергій</w:t>
      </w:r>
      <w:proofErr w:type="spellEnd"/>
      <w:r w:rsidRPr="004236C3">
        <w:rPr>
          <w:rFonts w:ascii="Times New Roman" w:hAnsi="Times New Roman"/>
          <w:b/>
          <w:bCs/>
          <w:sz w:val="28"/>
          <w:szCs w:val="28"/>
          <w:lang w:val="ru-RU"/>
        </w:rPr>
        <w:t xml:space="preserve"> ГРАНКІН</w:t>
      </w:r>
    </w:p>
    <w:p w14:paraId="5C68772D" w14:textId="77777777" w:rsidR="004236C3" w:rsidRPr="004236C3" w:rsidRDefault="004236C3" w:rsidP="00C30ED5">
      <w:pPr>
        <w:tabs>
          <w:tab w:val="left" w:pos="6804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4236C3">
        <w:rPr>
          <w:rFonts w:ascii="Times New Roman" w:hAnsi="Times New Roman"/>
          <w:b/>
          <w:bCs/>
          <w:sz w:val="28"/>
          <w:szCs w:val="28"/>
          <w:lang w:val="ru-RU"/>
        </w:rPr>
        <w:t>економіки</w:t>
      </w:r>
      <w:proofErr w:type="spellEnd"/>
      <w:r w:rsidRPr="004236C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36C3">
        <w:rPr>
          <w:rFonts w:ascii="Times New Roman" w:hAnsi="Times New Roman"/>
          <w:b/>
          <w:bCs/>
          <w:sz w:val="28"/>
          <w:szCs w:val="28"/>
          <w:lang w:val="ru-RU"/>
        </w:rPr>
        <w:t>міської</w:t>
      </w:r>
      <w:proofErr w:type="spellEnd"/>
      <w:r w:rsidRPr="004236C3">
        <w:rPr>
          <w:rFonts w:ascii="Times New Roman" w:hAnsi="Times New Roman"/>
          <w:b/>
          <w:bCs/>
          <w:sz w:val="28"/>
          <w:szCs w:val="28"/>
          <w:lang w:val="ru-RU"/>
        </w:rPr>
        <w:t xml:space="preserve"> ради</w:t>
      </w:r>
    </w:p>
    <w:p w14:paraId="5C8733E8" w14:textId="74D6E1A7" w:rsidR="004236C3" w:rsidRPr="00F1236A" w:rsidRDefault="004236C3" w:rsidP="004236C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236C3" w:rsidRPr="00F1236A" w:rsidSect="00DA3CB8">
      <w:pgSz w:w="12240" w:h="15840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80250"/>
    <w:multiLevelType w:val="multilevel"/>
    <w:tmpl w:val="CE9A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E76B32"/>
    <w:multiLevelType w:val="multilevel"/>
    <w:tmpl w:val="5860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9F3FF2"/>
    <w:multiLevelType w:val="multilevel"/>
    <w:tmpl w:val="BA62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5120284">
    <w:abstractNumId w:val="1"/>
  </w:num>
  <w:num w:numId="2" w16cid:durableId="1280990075">
    <w:abstractNumId w:val="2"/>
  </w:num>
  <w:num w:numId="3" w16cid:durableId="212488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BE"/>
    <w:rsid w:val="000213B8"/>
    <w:rsid w:val="000A4A90"/>
    <w:rsid w:val="001006A9"/>
    <w:rsid w:val="00110F39"/>
    <w:rsid w:val="00111E10"/>
    <w:rsid w:val="00120262"/>
    <w:rsid w:val="00155843"/>
    <w:rsid w:val="00157CF9"/>
    <w:rsid w:val="00173D21"/>
    <w:rsid w:val="001D68B3"/>
    <w:rsid w:val="00211FF6"/>
    <w:rsid w:val="0022051B"/>
    <w:rsid w:val="0022347E"/>
    <w:rsid w:val="00255D72"/>
    <w:rsid w:val="002C075F"/>
    <w:rsid w:val="00310D84"/>
    <w:rsid w:val="00314504"/>
    <w:rsid w:val="00321AA6"/>
    <w:rsid w:val="003253DA"/>
    <w:rsid w:val="00341903"/>
    <w:rsid w:val="0034476C"/>
    <w:rsid w:val="00345CDC"/>
    <w:rsid w:val="00357FD8"/>
    <w:rsid w:val="00390DDB"/>
    <w:rsid w:val="00397815"/>
    <w:rsid w:val="003B3680"/>
    <w:rsid w:val="00401F81"/>
    <w:rsid w:val="00410DCA"/>
    <w:rsid w:val="004236C3"/>
    <w:rsid w:val="004506DF"/>
    <w:rsid w:val="004929A3"/>
    <w:rsid w:val="004A1CE4"/>
    <w:rsid w:val="004A260E"/>
    <w:rsid w:val="004A5759"/>
    <w:rsid w:val="004B6AB5"/>
    <w:rsid w:val="0052338B"/>
    <w:rsid w:val="0057638E"/>
    <w:rsid w:val="005C08F9"/>
    <w:rsid w:val="005D1ECC"/>
    <w:rsid w:val="00614FA2"/>
    <w:rsid w:val="00626199"/>
    <w:rsid w:val="00627CEE"/>
    <w:rsid w:val="00637DA3"/>
    <w:rsid w:val="00664F7B"/>
    <w:rsid w:val="006A2F7D"/>
    <w:rsid w:val="006B6C0D"/>
    <w:rsid w:val="006F702E"/>
    <w:rsid w:val="00706F76"/>
    <w:rsid w:val="00787E65"/>
    <w:rsid w:val="00862CAF"/>
    <w:rsid w:val="008C5050"/>
    <w:rsid w:val="008F440D"/>
    <w:rsid w:val="0092368E"/>
    <w:rsid w:val="009636D8"/>
    <w:rsid w:val="0097298E"/>
    <w:rsid w:val="00987128"/>
    <w:rsid w:val="00987647"/>
    <w:rsid w:val="009F0E73"/>
    <w:rsid w:val="009F63F9"/>
    <w:rsid w:val="00A06F26"/>
    <w:rsid w:val="00A313D0"/>
    <w:rsid w:val="00A62DBE"/>
    <w:rsid w:val="00AA7341"/>
    <w:rsid w:val="00AB0C3D"/>
    <w:rsid w:val="00AB7B3A"/>
    <w:rsid w:val="00AF070D"/>
    <w:rsid w:val="00B16713"/>
    <w:rsid w:val="00B53A13"/>
    <w:rsid w:val="00B92D04"/>
    <w:rsid w:val="00BC1805"/>
    <w:rsid w:val="00BD6D72"/>
    <w:rsid w:val="00BF078B"/>
    <w:rsid w:val="00C0220D"/>
    <w:rsid w:val="00C30ED5"/>
    <w:rsid w:val="00C3425D"/>
    <w:rsid w:val="00C41C24"/>
    <w:rsid w:val="00C56D40"/>
    <w:rsid w:val="00C576B1"/>
    <w:rsid w:val="00C66B9A"/>
    <w:rsid w:val="00CA04CC"/>
    <w:rsid w:val="00CE330E"/>
    <w:rsid w:val="00CE7FB6"/>
    <w:rsid w:val="00CF7BBD"/>
    <w:rsid w:val="00D000B9"/>
    <w:rsid w:val="00D07DEF"/>
    <w:rsid w:val="00D45FCC"/>
    <w:rsid w:val="00D54770"/>
    <w:rsid w:val="00D73C32"/>
    <w:rsid w:val="00DA124E"/>
    <w:rsid w:val="00DA3CB8"/>
    <w:rsid w:val="00DB5DCE"/>
    <w:rsid w:val="00DF25CB"/>
    <w:rsid w:val="00DF57D1"/>
    <w:rsid w:val="00E3330F"/>
    <w:rsid w:val="00E65445"/>
    <w:rsid w:val="00E6554D"/>
    <w:rsid w:val="00E71104"/>
    <w:rsid w:val="00E81EE2"/>
    <w:rsid w:val="00ED7A32"/>
    <w:rsid w:val="00EE04B3"/>
    <w:rsid w:val="00EE2BF1"/>
    <w:rsid w:val="00F1236A"/>
    <w:rsid w:val="00F41628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6E5D"/>
  <w15:chartTrackingRefBased/>
  <w15:docId w15:val="{CE0DA1AD-E5B6-4D1C-92E6-218F73B3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7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5438</Words>
  <Characters>3101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KAB-29</dc:creator>
  <cp:keywords/>
  <dc:description/>
  <cp:lastModifiedBy>Лозівська міська рада</cp:lastModifiedBy>
  <cp:revision>7</cp:revision>
  <cp:lastPrinted>2023-11-10T10:01:00Z</cp:lastPrinted>
  <dcterms:created xsi:type="dcterms:W3CDTF">2025-12-09T11:18:00Z</dcterms:created>
  <dcterms:modified xsi:type="dcterms:W3CDTF">2025-12-10T11:59:00Z</dcterms:modified>
</cp:coreProperties>
</file>