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2C8F" w14:textId="1B5FA75D" w:rsidR="00A62DBE" w:rsidRPr="00A62DBE" w:rsidRDefault="00A62DBE" w:rsidP="008372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Інформаційна довідка </w:t>
      </w:r>
    </w:p>
    <w:p w14:paraId="09A021FC" w14:textId="146BC9F5" w:rsidR="00A62DBE" w:rsidRPr="00A62DBE" w:rsidRDefault="00A62DBE" w:rsidP="003249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A62DB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0" w:name="_Hlk70580359"/>
      <w:r w:rsidR="00F83ED6" w:rsidRPr="00F83ED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встановлення пільг із сплати земельного податку на території Лозівської міської територіальної громади</w:t>
      </w:r>
      <w:r w:rsidR="00B747F1" w:rsidRPr="00B747F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0"/>
    </w:p>
    <w:p w14:paraId="6E3FD677" w14:textId="3BB6CB11" w:rsidR="006A780B" w:rsidRPr="00837243" w:rsidRDefault="00A62DBE" w:rsidP="00A62DBE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1" w:name="_Hlk183423622"/>
      <w:r w:rsidR="00650D04" w:rsidRPr="00837243">
        <w:rPr>
          <w:rFonts w:ascii="Times New Roman" w:hAnsi="Times New Roman" w:cs="Times New Roman"/>
          <w:sz w:val="26"/>
          <w:szCs w:val="26"/>
          <w:lang w:val="uk-UA"/>
        </w:rPr>
        <w:t xml:space="preserve">До виконавчого комітету надійшли звернення від Управління Служби безпеки України в Харківській області та від Головного управління Національної поліції в Харківській області </w:t>
      </w:r>
      <w:r w:rsidR="006A780B" w:rsidRPr="00837243">
        <w:rPr>
          <w:rFonts w:ascii="Times New Roman" w:hAnsi="Times New Roman" w:cs="Times New Roman"/>
          <w:sz w:val="26"/>
          <w:szCs w:val="26"/>
          <w:lang w:val="uk-UA"/>
        </w:rPr>
        <w:t>щодо встановлення пільги зі сплати земельного податку.</w:t>
      </w:r>
    </w:p>
    <w:p w14:paraId="039E2298" w14:textId="0F94BD76" w:rsidR="006A780B" w:rsidRPr="00837243" w:rsidRDefault="006A780B" w:rsidP="00A62DBE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Зазначені звернення стосуються двох земельних ділянок:</w:t>
      </w:r>
    </w:p>
    <w:p w14:paraId="0562E7C2" w14:textId="643E3707" w:rsidR="006A780B" w:rsidRPr="00837243" w:rsidRDefault="006A780B" w:rsidP="006A780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м. Лозова, вул. Ярослава Мудрого, 7 (</w:t>
      </w:r>
      <w:r w:rsidR="001123EA">
        <w:rPr>
          <w:rFonts w:ascii="Times New Roman" w:hAnsi="Times New Roman" w:cs="Times New Roman"/>
          <w:sz w:val="26"/>
          <w:szCs w:val="26"/>
          <w:lang w:val="uk-UA"/>
        </w:rPr>
        <w:t>63</w:t>
      </w:r>
      <w:r w:rsidRPr="00837243">
        <w:rPr>
          <w:rFonts w:ascii="Times New Roman" w:hAnsi="Times New Roman" w:cs="Times New Roman"/>
          <w:sz w:val="26"/>
          <w:szCs w:val="26"/>
          <w:lang w:val="uk-UA"/>
        </w:rPr>
        <w:t>11000000:15:040:0016) - 0.4281 га</w:t>
      </w:r>
    </w:p>
    <w:p w14:paraId="3731BF07" w14:textId="79C6C2F5" w:rsidR="006A780B" w:rsidRPr="00837243" w:rsidRDefault="006A780B" w:rsidP="006A780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м. Лозова, вул. 25-тої Січеславської бригади, 12 (6311000000:02:011:0085) - 0.6286 га</w:t>
      </w:r>
    </w:p>
    <w:p w14:paraId="44CAF222" w14:textId="2C946CC2" w:rsidR="00771265" w:rsidRPr="00837243" w:rsidRDefault="00771265" w:rsidP="00A62DBE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Рішенням Лозівської міської ради від 17 червня 2021 року № 328 «Про встановлення земельного податку на території Лозівської міської територіальної громади» встановлені ставки земельного податку:</w:t>
      </w:r>
    </w:p>
    <w:p w14:paraId="5A83BE64" w14:textId="38238A59" w:rsidR="00771265" w:rsidRPr="00837243" w:rsidRDefault="00771265" w:rsidP="007712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i/>
          <w:iCs/>
          <w:sz w:val="26"/>
          <w:szCs w:val="26"/>
          <w:lang w:val="uk-UA"/>
        </w:rPr>
        <w:t>15.02 Для розміщення та постійної діяльності військових частин (підрозділів) Національної гвардії</w:t>
      </w:r>
      <w:r w:rsidRPr="00837243">
        <w:rPr>
          <w:rFonts w:ascii="Times New Roman" w:hAnsi="Times New Roman" w:cs="Times New Roman"/>
          <w:sz w:val="26"/>
          <w:szCs w:val="26"/>
          <w:lang w:val="uk-UA"/>
        </w:rPr>
        <w:t xml:space="preserve"> – 1,0%</w:t>
      </w:r>
      <w:r w:rsidR="008A0B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A0B52" w:rsidRPr="008A0B52">
        <w:rPr>
          <w:rFonts w:ascii="Times New Roman" w:hAnsi="Times New Roman" w:cs="Times New Roman"/>
          <w:sz w:val="26"/>
          <w:szCs w:val="26"/>
          <w:lang w:val="uk-UA"/>
        </w:rPr>
        <w:t>нормативної грошової оцінки</w:t>
      </w:r>
    </w:p>
    <w:p w14:paraId="1191E272" w14:textId="1E8E30B1" w:rsidR="00771265" w:rsidRPr="00837243" w:rsidRDefault="00771265" w:rsidP="0077126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15.04 Для розміщення та постійної діяльності СБУ </w:t>
      </w:r>
      <w:r w:rsidRPr="00837243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uk-UA"/>
        </w:rPr>
        <w:t xml:space="preserve"> </w:t>
      </w:r>
      <w:r w:rsidRPr="00837243">
        <w:rPr>
          <w:rFonts w:ascii="Times New Roman" w:hAnsi="Times New Roman" w:cs="Times New Roman"/>
          <w:sz w:val="26"/>
          <w:szCs w:val="26"/>
          <w:lang w:val="uk-UA"/>
        </w:rPr>
        <w:t>– 1,0%</w:t>
      </w:r>
      <w:r w:rsidR="008A0B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A0B52" w:rsidRPr="008A0B52">
        <w:rPr>
          <w:rFonts w:ascii="Times New Roman" w:hAnsi="Times New Roman" w:cs="Times New Roman"/>
          <w:sz w:val="26"/>
          <w:szCs w:val="26"/>
          <w:lang w:val="uk-UA"/>
        </w:rPr>
        <w:t>нормативної грошової оцінки</w:t>
      </w:r>
    </w:p>
    <w:p w14:paraId="630F512B" w14:textId="6554889A" w:rsidR="00771265" w:rsidRPr="00837243" w:rsidRDefault="00771265" w:rsidP="0083724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Орієнтовні суми земельного податку за земельними ділянками: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2148"/>
        <w:gridCol w:w="2149"/>
      </w:tblGrid>
      <w:tr w:rsidR="0043753E" w:rsidRPr="001123EA" w14:paraId="0D6326DC" w14:textId="77777777" w:rsidTr="00E62606">
        <w:tc>
          <w:tcPr>
            <w:tcW w:w="5382" w:type="dxa"/>
          </w:tcPr>
          <w:p w14:paraId="3F734803" w14:textId="6656B919" w:rsidR="0043753E" w:rsidRPr="00E323BD" w:rsidRDefault="0043753E" w:rsidP="007807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23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Земельна ділянка</w:t>
            </w:r>
          </w:p>
        </w:tc>
        <w:tc>
          <w:tcPr>
            <w:tcW w:w="2148" w:type="dxa"/>
          </w:tcPr>
          <w:p w14:paraId="7E67BCC5" w14:textId="7675F8D7" w:rsidR="0043753E" w:rsidRPr="00E323BD" w:rsidRDefault="0043753E" w:rsidP="008372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23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НГО </w:t>
            </w:r>
          </w:p>
        </w:tc>
        <w:tc>
          <w:tcPr>
            <w:tcW w:w="2149" w:type="dxa"/>
          </w:tcPr>
          <w:p w14:paraId="554A2038" w14:textId="72DCDCF0" w:rsidR="0043753E" w:rsidRPr="00E323BD" w:rsidRDefault="0043753E" w:rsidP="008372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23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Сума земельного податку, </w:t>
            </w:r>
            <w:r w:rsidR="00511269" w:rsidRPr="00E323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1,0% від НГО</w:t>
            </w:r>
          </w:p>
          <w:p w14:paraId="449E7108" w14:textId="75F338C4" w:rsidR="0043753E" w:rsidRPr="00E323BD" w:rsidRDefault="0043753E" w:rsidP="008372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23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на рік</w:t>
            </w:r>
          </w:p>
        </w:tc>
      </w:tr>
      <w:tr w:rsidR="0043753E" w14:paraId="3CE1E0F0" w14:textId="77777777" w:rsidTr="00E62606">
        <w:tc>
          <w:tcPr>
            <w:tcW w:w="5382" w:type="dxa"/>
          </w:tcPr>
          <w:p w14:paraId="0F7459C6" w14:textId="19CB483D" w:rsidR="0043753E" w:rsidRPr="006A780B" w:rsidRDefault="0043753E" w:rsidP="004375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8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Ярослава Мудрого,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8372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0.4281 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48" w:type="dxa"/>
          </w:tcPr>
          <w:p w14:paraId="7DA4B2C1" w14:textId="64806913" w:rsidR="0043753E" w:rsidRDefault="0043753E" w:rsidP="00E323B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614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149" w:type="dxa"/>
          </w:tcPr>
          <w:p w14:paraId="326A8E4D" w14:textId="7C63A7E6" w:rsidR="0043753E" w:rsidRPr="001123EA" w:rsidRDefault="0043753E" w:rsidP="00E323B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43753E" w14:paraId="72D1C7D0" w14:textId="77777777" w:rsidTr="00AA049E">
        <w:tc>
          <w:tcPr>
            <w:tcW w:w="5382" w:type="dxa"/>
          </w:tcPr>
          <w:p w14:paraId="2FD68F6E" w14:textId="081DCC2D" w:rsidR="0043753E" w:rsidRDefault="0043753E" w:rsidP="008372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25-тої Січеславської бригади, 12 (</w:t>
            </w:r>
            <w:r w:rsidRPr="008372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0.6286 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48" w:type="dxa"/>
          </w:tcPr>
          <w:p w14:paraId="08582CDE" w14:textId="30092FA0" w:rsidR="0043753E" w:rsidRDefault="007F6296" w:rsidP="00E323B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595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2149" w:type="dxa"/>
          </w:tcPr>
          <w:p w14:paraId="554929B4" w14:textId="54804647" w:rsidR="0043753E" w:rsidRPr="00E323BD" w:rsidRDefault="007F6296" w:rsidP="00E323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2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951</w:t>
            </w:r>
            <w:r w:rsidR="00E323B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3753E" w14:paraId="7ACAECB3" w14:textId="77777777" w:rsidTr="00464435">
        <w:tc>
          <w:tcPr>
            <w:tcW w:w="5382" w:type="dxa"/>
          </w:tcPr>
          <w:p w14:paraId="31A86BC8" w14:textId="49CB6065" w:rsidR="0043753E" w:rsidRDefault="0043753E" w:rsidP="008372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48" w:type="dxa"/>
          </w:tcPr>
          <w:p w14:paraId="761DE065" w14:textId="11CB73EE" w:rsidR="0043753E" w:rsidRPr="00E323BD" w:rsidRDefault="00511269" w:rsidP="00E323B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23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2149" w:type="dxa"/>
          </w:tcPr>
          <w:p w14:paraId="253B9B8B" w14:textId="276578AF" w:rsidR="0043753E" w:rsidRPr="00E323BD" w:rsidRDefault="000F0B76" w:rsidP="00E323B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42</w:t>
            </w:r>
            <w:r w:rsidR="00E323BD" w:rsidRPr="00E32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100</w:t>
            </w:r>
            <w:r w:rsidR="00E323BD" w:rsidRPr="00E32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</w:tbl>
    <w:p w14:paraId="18720661" w14:textId="77777777" w:rsidR="00415CC1" w:rsidRDefault="00415CC1" w:rsidP="0083724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0CDFA9" w14:textId="23874BC2" w:rsidR="00771265" w:rsidRPr="00837243" w:rsidRDefault="00771265" w:rsidP="00F11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В попередні роки зазначені правоохоронні органи за групою платників податків «правоохоронні органи, які забезпечують підтримання публічної безпеки і порядку, протидію злочинності та державну безпеку» мали пільгу – 100%</w:t>
      </w:r>
    </w:p>
    <w:p w14:paraId="4190939D" w14:textId="76A895FA" w:rsidR="00771265" w:rsidRPr="00837243" w:rsidRDefault="00837243" w:rsidP="00F11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>З метою підтримки діяльності правоохоронних органів в умовах воєнного стану пропонується встановити на 202</w:t>
      </w:r>
      <w:r w:rsidR="00BF2C3C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837243">
        <w:rPr>
          <w:rFonts w:ascii="Times New Roman" w:hAnsi="Times New Roman" w:cs="Times New Roman"/>
          <w:sz w:val="26"/>
          <w:szCs w:val="26"/>
          <w:lang w:val="uk-UA"/>
        </w:rPr>
        <w:t xml:space="preserve"> рік пільгу – 100%</w:t>
      </w:r>
    </w:p>
    <w:p w14:paraId="15D77F3B" w14:textId="56604E21" w:rsidR="00A62DBE" w:rsidRPr="00837243" w:rsidRDefault="00771265" w:rsidP="00F113DA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sz w:val="26"/>
          <w:szCs w:val="26"/>
          <w:lang w:val="uk-UA"/>
        </w:rPr>
        <w:t xml:space="preserve">Для </w:t>
      </w:r>
      <w:r w:rsidR="00837243" w:rsidRPr="00837243">
        <w:rPr>
          <w:rFonts w:ascii="Times New Roman" w:hAnsi="Times New Roman" w:cs="Times New Roman"/>
          <w:sz w:val="26"/>
          <w:szCs w:val="26"/>
          <w:lang w:val="uk-UA"/>
        </w:rPr>
        <w:t>встановлення пільг правоохоронним органам управлінням економіки підготовлений проєкт рішення міської ради «Про встановлення пільг із сплати земельного податку на території Лозівської міської територіальної громади»</w:t>
      </w:r>
      <w:r w:rsidR="00415CC1">
        <w:rPr>
          <w:rFonts w:ascii="Times New Roman" w:hAnsi="Times New Roman" w:cs="Times New Roman"/>
          <w:sz w:val="26"/>
          <w:szCs w:val="26"/>
          <w:lang w:val="uk-UA"/>
        </w:rPr>
        <w:t>, який пропонується розглянути на профільній комісії та винести на розгляд чергової сесії міської ради.</w:t>
      </w:r>
    </w:p>
    <w:bookmarkEnd w:id="1"/>
    <w:p w14:paraId="632F5E75" w14:textId="77777777" w:rsidR="00837243" w:rsidRDefault="00837243" w:rsidP="00A62DB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97CB1E4" w14:textId="45E2143E" w:rsidR="00A62DBE" w:rsidRPr="00837243" w:rsidRDefault="00A62DBE" w:rsidP="00A62DB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Начальник управління економіки</w:t>
      </w:r>
    </w:p>
    <w:p w14:paraId="62AEC1FA" w14:textId="3D1B099B" w:rsidR="00A62DBE" w:rsidRPr="00837243" w:rsidRDefault="00A62DBE" w:rsidP="00A62DBE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міської ради</w:t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  <w:t xml:space="preserve"> </w:t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837243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  <w:t>Сергій ГРАНКІН</w:t>
      </w:r>
    </w:p>
    <w:sectPr w:rsidR="00A62DBE" w:rsidRPr="00837243" w:rsidSect="00F113DA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964"/>
    <w:multiLevelType w:val="hybridMultilevel"/>
    <w:tmpl w:val="B7CC7A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BE"/>
    <w:rsid w:val="00075BD2"/>
    <w:rsid w:val="000F0B76"/>
    <w:rsid w:val="001123EA"/>
    <w:rsid w:val="00120262"/>
    <w:rsid w:val="00155843"/>
    <w:rsid w:val="00157CF9"/>
    <w:rsid w:val="0022051B"/>
    <w:rsid w:val="00314504"/>
    <w:rsid w:val="0032495D"/>
    <w:rsid w:val="0032622C"/>
    <w:rsid w:val="00415CC1"/>
    <w:rsid w:val="0043753E"/>
    <w:rsid w:val="004B2256"/>
    <w:rsid w:val="004B3AB3"/>
    <w:rsid w:val="00511269"/>
    <w:rsid w:val="00551A53"/>
    <w:rsid w:val="00626199"/>
    <w:rsid w:val="00650D04"/>
    <w:rsid w:val="006A780B"/>
    <w:rsid w:val="00771265"/>
    <w:rsid w:val="007807C3"/>
    <w:rsid w:val="007F6296"/>
    <w:rsid w:val="00837243"/>
    <w:rsid w:val="008A0B52"/>
    <w:rsid w:val="0092368E"/>
    <w:rsid w:val="0097350F"/>
    <w:rsid w:val="00987128"/>
    <w:rsid w:val="009F40DB"/>
    <w:rsid w:val="00A16171"/>
    <w:rsid w:val="00A34F5C"/>
    <w:rsid w:val="00A62DBE"/>
    <w:rsid w:val="00AC1B7A"/>
    <w:rsid w:val="00B747F1"/>
    <w:rsid w:val="00BC1805"/>
    <w:rsid w:val="00BF2C3C"/>
    <w:rsid w:val="00C0128F"/>
    <w:rsid w:val="00C060E3"/>
    <w:rsid w:val="00C17ED9"/>
    <w:rsid w:val="00CB2E68"/>
    <w:rsid w:val="00D07DEF"/>
    <w:rsid w:val="00D45FCC"/>
    <w:rsid w:val="00DB11EB"/>
    <w:rsid w:val="00DB5DCE"/>
    <w:rsid w:val="00E323BD"/>
    <w:rsid w:val="00ED189C"/>
    <w:rsid w:val="00F113DA"/>
    <w:rsid w:val="00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0B"/>
    <w:pPr>
      <w:ind w:left="720"/>
      <w:contextualSpacing/>
    </w:pPr>
  </w:style>
  <w:style w:type="table" w:styleId="a4">
    <w:name w:val="Table Grid"/>
    <w:basedOn w:val="a1"/>
    <w:uiPriority w:val="39"/>
    <w:rsid w:val="008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4</cp:revision>
  <cp:lastPrinted>2024-11-27T11:44:00Z</cp:lastPrinted>
  <dcterms:created xsi:type="dcterms:W3CDTF">2025-12-09T08:38:00Z</dcterms:created>
  <dcterms:modified xsi:type="dcterms:W3CDTF">2025-12-09T09:10:00Z</dcterms:modified>
</cp:coreProperties>
</file>